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90C5A" w14:textId="77777777" w:rsidR="00BF75A3" w:rsidRDefault="00BF75A3">
      <w:pPr>
        <w:rPr>
          <w:rFonts w:ascii="Arial" w:hAnsi="Arial" w:cs="Arial"/>
          <w:sz w:val="52"/>
          <w:szCs w:val="52"/>
        </w:rPr>
      </w:pPr>
    </w:p>
    <w:p w14:paraId="1C690C5B" w14:textId="77777777" w:rsidR="00BF75A3" w:rsidRDefault="00652B2B">
      <w:pPr>
        <w:jc w:val="center"/>
        <w:rPr>
          <w:rFonts w:ascii="Arial" w:hAnsi="Arial" w:cs="Arial"/>
          <w:sz w:val="52"/>
          <w:szCs w:val="52"/>
        </w:rPr>
      </w:pPr>
      <w:r>
        <w:rPr>
          <w:noProof/>
        </w:rPr>
        <w:drawing>
          <wp:inline distT="0" distB="0" distL="0" distR="0" wp14:anchorId="1C690DD0" wp14:editId="1C690DD1">
            <wp:extent cx="4286250" cy="1905000"/>
            <wp:effectExtent l="0" t="0" r="0" b="0"/>
            <wp:docPr id="2" name="Picture 2" descr="http://www.hagleyrc.worcs.sch.uk/images/slideShowImages/MAC_logo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4286250" cy="1905000"/>
                    </a:xfrm>
                    <a:prstGeom prst="rect">
                      <a:avLst/>
                    </a:prstGeom>
                  </pic:spPr>
                </pic:pic>
              </a:graphicData>
            </a:graphic>
          </wp:inline>
        </w:drawing>
      </w:r>
    </w:p>
    <w:p w14:paraId="1C690C5C" w14:textId="77777777" w:rsidR="00BF75A3" w:rsidRDefault="00BF75A3">
      <w:pPr>
        <w:jc w:val="center"/>
        <w:rPr>
          <w:rFonts w:ascii="Arial" w:hAnsi="Arial" w:cs="Arial"/>
          <w:sz w:val="52"/>
          <w:szCs w:val="52"/>
        </w:rPr>
      </w:pPr>
    </w:p>
    <w:p w14:paraId="1C690C5D" w14:textId="77777777" w:rsidR="00BF75A3" w:rsidRDefault="00652B2B">
      <w:pPr>
        <w:jc w:val="center"/>
        <w:rPr>
          <w:rFonts w:ascii="Arial" w:hAnsi="Arial" w:cs="Arial"/>
          <w:sz w:val="52"/>
          <w:szCs w:val="52"/>
        </w:rPr>
      </w:pPr>
      <w:r>
        <w:rPr>
          <w:rFonts w:ascii="Arial" w:hAnsi="Arial" w:cs="Arial"/>
          <w:sz w:val="52"/>
          <w:szCs w:val="52"/>
        </w:rPr>
        <w:t>HAGLEY CATHOLIC HIGH SCHOOL</w:t>
      </w:r>
    </w:p>
    <w:p w14:paraId="1C690C5E" w14:textId="77777777" w:rsidR="00BF75A3" w:rsidRDefault="00BF75A3">
      <w:pPr>
        <w:jc w:val="center"/>
        <w:rPr>
          <w:rFonts w:ascii="Arial" w:hAnsi="Arial" w:cs="Arial"/>
          <w:sz w:val="52"/>
          <w:szCs w:val="52"/>
        </w:rPr>
      </w:pPr>
    </w:p>
    <w:p w14:paraId="1C690C5F" w14:textId="77777777" w:rsidR="00BF75A3" w:rsidRDefault="00652B2B">
      <w:pPr>
        <w:jc w:val="center"/>
        <w:rPr>
          <w:rFonts w:ascii="Arial" w:hAnsi="Arial" w:cs="Arial"/>
          <w:sz w:val="52"/>
          <w:szCs w:val="52"/>
        </w:rPr>
      </w:pPr>
      <w:r>
        <w:rPr>
          <w:noProof/>
        </w:rPr>
        <w:drawing>
          <wp:inline distT="0" distB="0" distL="0" distR="0" wp14:anchorId="1C690DD2" wp14:editId="1C690DD3">
            <wp:extent cx="2162175" cy="1971675"/>
            <wp:effectExtent l="0" t="0" r="9525" b="9525"/>
            <wp:docPr id="1" name="Picture 1" descr="logo rc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162175" cy="1971675"/>
                    </a:xfrm>
                    <a:prstGeom prst="rect">
                      <a:avLst/>
                    </a:prstGeom>
                  </pic:spPr>
                </pic:pic>
              </a:graphicData>
            </a:graphic>
          </wp:inline>
        </w:drawing>
      </w:r>
    </w:p>
    <w:p w14:paraId="1C690C60" w14:textId="77777777" w:rsidR="00BF75A3" w:rsidRDefault="00BF75A3">
      <w:pPr>
        <w:rPr>
          <w:rFonts w:ascii="Arial" w:hAnsi="Arial" w:cs="Arial"/>
          <w:sz w:val="52"/>
          <w:szCs w:val="52"/>
        </w:rPr>
      </w:pPr>
    </w:p>
    <w:p w14:paraId="1C690C61" w14:textId="77777777" w:rsidR="00BF75A3" w:rsidRDefault="00652B2B">
      <w:pPr>
        <w:jc w:val="center"/>
        <w:rPr>
          <w:rFonts w:ascii="Arial" w:hAnsi="Arial" w:cs="Arial"/>
          <w:sz w:val="52"/>
          <w:szCs w:val="52"/>
        </w:rPr>
      </w:pPr>
      <w:r>
        <w:rPr>
          <w:rFonts w:ascii="Arial" w:hAnsi="Arial" w:cs="Arial"/>
          <w:sz w:val="52"/>
          <w:szCs w:val="52"/>
        </w:rPr>
        <w:t xml:space="preserve">PUPIL PREMIUM POLICY </w:t>
      </w:r>
    </w:p>
    <w:p w14:paraId="1C690C62" w14:textId="77777777" w:rsidR="00BF75A3" w:rsidRDefault="00652B2B">
      <w:pPr>
        <w:jc w:val="center"/>
        <w:rPr>
          <w:rFonts w:ascii="Arial" w:hAnsi="Arial" w:cs="Arial"/>
          <w:sz w:val="52"/>
          <w:szCs w:val="52"/>
        </w:rPr>
      </w:pPr>
      <w:r>
        <w:rPr>
          <w:rFonts w:ascii="Arial" w:hAnsi="Arial" w:cs="Arial"/>
          <w:sz w:val="52"/>
          <w:szCs w:val="52"/>
        </w:rPr>
        <w:t>&amp; STRATEGY REVIEW</w:t>
      </w:r>
    </w:p>
    <w:p w14:paraId="1C690C63" w14:textId="77777777" w:rsidR="00BF75A3" w:rsidRDefault="00652B2B">
      <w:pPr>
        <w:jc w:val="center"/>
        <w:rPr>
          <w:rFonts w:ascii="Arial" w:hAnsi="Arial" w:cs="Arial"/>
          <w:sz w:val="52"/>
          <w:szCs w:val="52"/>
        </w:rPr>
      </w:pPr>
      <w:r>
        <w:rPr>
          <w:rFonts w:ascii="Arial" w:hAnsi="Arial" w:cs="Arial"/>
          <w:sz w:val="52"/>
          <w:szCs w:val="52"/>
        </w:rPr>
        <w:t xml:space="preserve"> ACADEMIC YEAR 2019-20</w:t>
      </w:r>
    </w:p>
    <w:p w14:paraId="1C690C64" w14:textId="77777777" w:rsidR="00BF75A3" w:rsidRDefault="00652B2B">
      <w:pPr>
        <w:rPr>
          <w:rFonts w:ascii="Arial" w:hAnsi="Arial" w:cs="Arial"/>
          <w:b/>
          <w:sz w:val="40"/>
          <w:szCs w:val="40"/>
        </w:rPr>
      </w:pPr>
      <w:r>
        <w:rPr>
          <w:rFonts w:ascii="Arial" w:hAnsi="Arial" w:cs="Arial"/>
          <w:b/>
          <w:sz w:val="40"/>
          <w:szCs w:val="40"/>
        </w:rPr>
        <w:lastRenderedPageBreak/>
        <w:t>Contents:</w:t>
      </w:r>
    </w:p>
    <w:p w14:paraId="1C690C65" w14:textId="77777777" w:rsidR="00BF75A3" w:rsidRDefault="00BF75A3">
      <w:pPr>
        <w:rPr>
          <w:rFonts w:ascii="Arial" w:hAnsi="Arial" w:cs="Arial"/>
          <w:b/>
          <w:sz w:val="40"/>
          <w:szCs w:val="40"/>
        </w:rPr>
      </w:pPr>
    </w:p>
    <w:p w14:paraId="1C690C66" w14:textId="77777777" w:rsidR="00BF75A3" w:rsidRDefault="00652B2B">
      <w:pPr>
        <w:rPr>
          <w:rFonts w:ascii="Arial" w:hAnsi="Arial" w:cs="Arial"/>
          <w:b/>
          <w:sz w:val="40"/>
          <w:szCs w:val="40"/>
        </w:rPr>
      </w:pPr>
      <w:r>
        <w:rPr>
          <w:rFonts w:ascii="Arial" w:hAnsi="Arial" w:cs="Arial"/>
          <w:b/>
          <w:sz w:val="40"/>
          <w:szCs w:val="40"/>
        </w:rPr>
        <w:t>Mission Statement, Principles, Background</w:t>
      </w:r>
    </w:p>
    <w:p w14:paraId="1C690C67" w14:textId="77777777" w:rsidR="00BF75A3" w:rsidRDefault="00652B2B">
      <w:pPr>
        <w:rPr>
          <w:rFonts w:ascii="Arial" w:hAnsi="Arial" w:cs="Arial"/>
          <w:b/>
          <w:sz w:val="40"/>
          <w:szCs w:val="40"/>
        </w:rPr>
      </w:pPr>
      <w:r>
        <w:rPr>
          <w:rFonts w:ascii="Arial" w:hAnsi="Arial" w:cs="Arial"/>
          <w:b/>
          <w:sz w:val="40"/>
          <w:szCs w:val="40"/>
        </w:rPr>
        <w:t>Provision and reporting</w:t>
      </w:r>
    </w:p>
    <w:p w14:paraId="1C690C68" w14:textId="77777777" w:rsidR="00BF75A3" w:rsidRDefault="00652B2B">
      <w:pPr>
        <w:rPr>
          <w:rFonts w:ascii="Arial" w:hAnsi="Arial" w:cs="Arial"/>
          <w:b/>
          <w:sz w:val="40"/>
          <w:szCs w:val="40"/>
        </w:rPr>
      </w:pPr>
      <w:r>
        <w:rPr>
          <w:rFonts w:ascii="Arial" w:hAnsi="Arial" w:cs="Arial"/>
          <w:b/>
          <w:sz w:val="40"/>
          <w:szCs w:val="40"/>
        </w:rPr>
        <w:t xml:space="preserve">Success </w:t>
      </w:r>
      <w:r>
        <w:rPr>
          <w:rFonts w:ascii="Arial" w:hAnsi="Arial" w:cs="Arial"/>
          <w:b/>
          <w:sz w:val="40"/>
          <w:szCs w:val="40"/>
        </w:rPr>
        <w:t>Criteria</w:t>
      </w:r>
    </w:p>
    <w:p w14:paraId="1C690C69" w14:textId="77777777" w:rsidR="00BF75A3" w:rsidRDefault="00652B2B">
      <w:pPr>
        <w:rPr>
          <w:rFonts w:ascii="Arial" w:hAnsi="Arial" w:cs="Arial"/>
          <w:b/>
          <w:sz w:val="40"/>
          <w:szCs w:val="40"/>
        </w:rPr>
      </w:pPr>
      <w:r>
        <w:rPr>
          <w:rFonts w:ascii="Arial" w:hAnsi="Arial" w:cs="Arial"/>
          <w:b/>
          <w:sz w:val="40"/>
          <w:szCs w:val="40"/>
        </w:rPr>
        <w:t>Protocols</w:t>
      </w:r>
    </w:p>
    <w:p w14:paraId="1C690C6A" w14:textId="77777777" w:rsidR="00BF75A3" w:rsidRDefault="00652B2B">
      <w:pPr>
        <w:rPr>
          <w:rFonts w:ascii="Arial" w:hAnsi="Arial" w:cs="Arial"/>
          <w:b/>
          <w:sz w:val="40"/>
          <w:szCs w:val="40"/>
        </w:rPr>
      </w:pPr>
      <w:r>
        <w:rPr>
          <w:rFonts w:ascii="Arial" w:hAnsi="Arial" w:cs="Arial"/>
          <w:b/>
          <w:sz w:val="40"/>
          <w:szCs w:val="40"/>
        </w:rPr>
        <w:t>Expenditure Plan 2019-20</w:t>
      </w:r>
    </w:p>
    <w:p w14:paraId="1C690C6B" w14:textId="77777777" w:rsidR="00BF75A3" w:rsidRDefault="00BF75A3">
      <w:pPr>
        <w:rPr>
          <w:rFonts w:ascii="Arial" w:hAnsi="Arial" w:cs="Arial"/>
          <w:sz w:val="40"/>
          <w:szCs w:val="40"/>
        </w:rPr>
      </w:pPr>
    </w:p>
    <w:p w14:paraId="1C690C6C" w14:textId="77777777" w:rsidR="00BF75A3" w:rsidRDefault="00BF75A3">
      <w:pPr>
        <w:rPr>
          <w:rFonts w:ascii="Arial" w:hAnsi="Arial" w:cs="Arial"/>
          <w:sz w:val="40"/>
          <w:szCs w:val="40"/>
        </w:rPr>
      </w:pPr>
    </w:p>
    <w:p w14:paraId="1C690C6D" w14:textId="77777777" w:rsidR="00BF75A3" w:rsidRDefault="00BF75A3">
      <w:pPr>
        <w:rPr>
          <w:rFonts w:ascii="Arial" w:hAnsi="Arial" w:cs="Arial"/>
          <w:sz w:val="24"/>
          <w:szCs w:val="24"/>
        </w:rPr>
      </w:pPr>
    </w:p>
    <w:p w14:paraId="1C690C6E" w14:textId="77777777" w:rsidR="00BF75A3" w:rsidRDefault="00BF75A3">
      <w:pPr>
        <w:rPr>
          <w:rFonts w:ascii="Arial" w:hAnsi="Arial" w:cs="Arial"/>
          <w:sz w:val="24"/>
          <w:szCs w:val="24"/>
        </w:rPr>
      </w:pPr>
    </w:p>
    <w:p w14:paraId="1C690C6F" w14:textId="77777777" w:rsidR="00BF75A3" w:rsidRDefault="00BF75A3">
      <w:pPr>
        <w:rPr>
          <w:rFonts w:ascii="Arial" w:hAnsi="Arial" w:cs="Arial"/>
          <w:sz w:val="24"/>
          <w:szCs w:val="24"/>
        </w:rPr>
      </w:pPr>
    </w:p>
    <w:p w14:paraId="1C690C70" w14:textId="77777777" w:rsidR="00BF75A3" w:rsidRDefault="00BF75A3">
      <w:pPr>
        <w:rPr>
          <w:rFonts w:ascii="Arial" w:hAnsi="Arial" w:cs="Arial"/>
          <w:sz w:val="24"/>
          <w:szCs w:val="24"/>
        </w:rPr>
      </w:pPr>
    </w:p>
    <w:p w14:paraId="1C690C71" w14:textId="77777777" w:rsidR="00BF75A3" w:rsidRDefault="00BF75A3">
      <w:pPr>
        <w:rPr>
          <w:rFonts w:ascii="Arial" w:hAnsi="Arial" w:cs="Arial"/>
          <w:sz w:val="24"/>
          <w:szCs w:val="24"/>
        </w:rPr>
      </w:pPr>
    </w:p>
    <w:p w14:paraId="1C690C72" w14:textId="77777777" w:rsidR="00BF75A3" w:rsidRDefault="00BF75A3">
      <w:pPr>
        <w:rPr>
          <w:rFonts w:ascii="Arial" w:hAnsi="Arial" w:cs="Arial"/>
          <w:sz w:val="24"/>
          <w:szCs w:val="24"/>
        </w:rPr>
      </w:pPr>
    </w:p>
    <w:p w14:paraId="1C690C73" w14:textId="77777777" w:rsidR="00BF75A3" w:rsidRDefault="00BF75A3">
      <w:pPr>
        <w:rPr>
          <w:rFonts w:ascii="Arial" w:hAnsi="Arial" w:cs="Arial"/>
          <w:sz w:val="24"/>
          <w:szCs w:val="24"/>
        </w:rPr>
      </w:pPr>
    </w:p>
    <w:p w14:paraId="1C690C74" w14:textId="77777777" w:rsidR="00BF75A3" w:rsidRDefault="00BF75A3">
      <w:pPr>
        <w:rPr>
          <w:rFonts w:ascii="Arial" w:hAnsi="Arial" w:cs="Arial"/>
          <w:sz w:val="24"/>
          <w:szCs w:val="24"/>
        </w:rPr>
      </w:pPr>
    </w:p>
    <w:p w14:paraId="1C690C75" w14:textId="77777777" w:rsidR="00BF75A3" w:rsidRDefault="00BF75A3">
      <w:pPr>
        <w:rPr>
          <w:rFonts w:ascii="Arial" w:hAnsi="Arial" w:cs="Arial"/>
          <w:sz w:val="24"/>
          <w:szCs w:val="24"/>
        </w:rPr>
      </w:pPr>
    </w:p>
    <w:p w14:paraId="1C690C76" w14:textId="77777777" w:rsidR="00BF75A3" w:rsidRDefault="00BF75A3">
      <w:pPr>
        <w:rPr>
          <w:rFonts w:ascii="Arial" w:hAnsi="Arial" w:cs="Arial"/>
          <w:sz w:val="24"/>
          <w:szCs w:val="24"/>
        </w:rPr>
      </w:pPr>
    </w:p>
    <w:p w14:paraId="1C690C77" w14:textId="77777777" w:rsidR="00BF75A3" w:rsidRDefault="00BF75A3">
      <w:pPr>
        <w:rPr>
          <w:rFonts w:ascii="Arial" w:hAnsi="Arial" w:cs="Arial"/>
          <w:sz w:val="24"/>
          <w:szCs w:val="24"/>
        </w:rPr>
      </w:pPr>
    </w:p>
    <w:p w14:paraId="1C690C78" w14:textId="77777777" w:rsidR="00BF75A3" w:rsidRDefault="00BF75A3">
      <w:pPr>
        <w:rPr>
          <w:rFonts w:ascii="Arial" w:hAnsi="Arial" w:cs="Arial"/>
          <w:sz w:val="24"/>
          <w:szCs w:val="24"/>
        </w:rPr>
      </w:pPr>
    </w:p>
    <w:p w14:paraId="1C690C79" w14:textId="77777777" w:rsidR="00BF75A3" w:rsidRDefault="00BF75A3">
      <w:pPr>
        <w:rPr>
          <w:rFonts w:ascii="Arial" w:hAnsi="Arial" w:cs="Arial"/>
          <w:sz w:val="24"/>
          <w:szCs w:val="24"/>
        </w:rPr>
      </w:pPr>
    </w:p>
    <w:p w14:paraId="1C690C7A" w14:textId="77777777" w:rsidR="00BF75A3" w:rsidRDefault="00BF75A3">
      <w:pPr>
        <w:rPr>
          <w:rFonts w:ascii="Arial" w:hAnsi="Arial" w:cs="Arial"/>
          <w:b/>
          <w:sz w:val="24"/>
          <w:szCs w:val="24"/>
          <w:u w:val="single"/>
        </w:rPr>
      </w:pPr>
    </w:p>
    <w:p w14:paraId="1C690C7B" w14:textId="77777777" w:rsidR="00BF75A3" w:rsidRDefault="00652B2B">
      <w:pPr>
        <w:jc w:val="both"/>
        <w:rPr>
          <w:rFonts w:ascii="Arial" w:hAnsi="Arial" w:cs="Arial"/>
          <w:b/>
          <w:sz w:val="24"/>
          <w:szCs w:val="24"/>
          <w:u w:val="single"/>
        </w:rPr>
      </w:pPr>
      <w:r>
        <w:rPr>
          <w:rFonts w:ascii="Arial" w:hAnsi="Arial" w:cs="Arial"/>
          <w:b/>
          <w:sz w:val="24"/>
          <w:szCs w:val="24"/>
          <w:u w:val="single"/>
        </w:rPr>
        <w:lastRenderedPageBreak/>
        <w:t>Mission Statement:</w:t>
      </w:r>
    </w:p>
    <w:p w14:paraId="1C690C7C" w14:textId="77777777" w:rsidR="00BF75A3" w:rsidRDefault="00652B2B">
      <w:pPr>
        <w:jc w:val="both"/>
        <w:rPr>
          <w:rFonts w:ascii="Arial" w:hAnsi="Arial" w:cs="Arial"/>
          <w:b/>
          <w:sz w:val="24"/>
          <w:szCs w:val="24"/>
          <w:u w:val="single"/>
        </w:rPr>
      </w:pPr>
      <w:r>
        <w:rPr>
          <w:rFonts w:ascii="Century Gothic" w:hAnsi="Century Gothic"/>
          <w:b/>
          <w:noProof/>
          <w:color w:val="0066CC"/>
          <w:sz w:val="28"/>
          <w:szCs w:val="28"/>
          <w:lang w:eastAsia="en-GB"/>
        </w:rPr>
        <mc:AlternateContent>
          <mc:Choice Requires="wps">
            <w:drawing>
              <wp:anchor distT="0" distB="0" distL="114300" distR="114300" simplePos="0" relativeHeight="251659264" behindDoc="0" locked="0" layoutInCell="1" allowOverlap="1" wp14:anchorId="1C690DD4" wp14:editId="1C690DD5">
                <wp:simplePos x="0" y="0"/>
                <wp:positionH relativeFrom="column">
                  <wp:posOffset>-390525</wp:posOffset>
                </wp:positionH>
                <wp:positionV relativeFrom="paragraph">
                  <wp:posOffset>109855</wp:posOffset>
                </wp:positionV>
                <wp:extent cx="6391275" cy="2095500"/>
                <wp:effectExtent l="0" t="0" r="28575" b="19050"/>
                <wp:wrapNone/>
                <wp:docPr id="65" name="Text Box 65"/>
                <wp:cNvGraphicFramePr/>
                <a:graphic xmlns:a="http://schemas.openxmlformats.org/drawingml/2006/main">
                  <a:graphicData uri="http://schemas.microsoft.com/office/word/2010/wordprocessingShape">
                    <wps:wsp>
                      <wps:cNvSpPr txBox="1"/>
                      <wps:spPr>
                        <a:xfrm>
                          <a:off x="0" y="0"/>
                          <a:ext cx="6391275" cy="2095500"/>
                        </a:xfrm>
                        <a:prstGeom prst="rect">
                          <a:avLst/>
                        </a:prstGeom>
                        <a:solidFill>
                          <a:schemeClr val="lt1"/>
                        </a:solidFill>
                        <a:ln w="25400">
                          <a:solidFill>
                            <a:srgbClr val="0000CC"/>
                          </a:solidFill>
                        </a:ln>
                        <a:effectLst/>
                      </wps:spPr>
                      <wps:style>
                        <a:lnRef idx="0">
                          <a:schemeClr val="accent1"/>
                        </a:lnRef>
                        <a:fillRef idx="0">
                          <a:schemeClr val="accent1"/>
                        </a:fillRef>
                        <a:effectRef idx="0">
                          <a:schemeClr val="accent1"/>
                        </a:effectRef>
                        <a:fontRef idx="minor">
                          <a:schemeClr val="dk1"/>
                        </a:fontRef>
                      </wps:style>
                      <wps:txbx>
                        <w:txbxContent>
                          <w:p w14:paraId="1C690DE1" w14:textId="77777777" w:rsidR="00BF75A3" w:rsidRDefault="00652B2B">
                            <w:pPr>
                              <w:pStyle w:val="Header"/>
                              <w:jc w:val="center"/>
                              <w:rPr>
                                <w:rFonts w:ascii="Papyrus" w:hAnsi="Papyrus"/>
                                <w:b/>
                                <w:i/>
                                <w:color w:val="5F497A" w:themeColor="accent4" w:themeShade="BF"/>
                                <w:sz w:val="36"/>
                                <w:szCs w:val="36"/>
                              </w:rPr>
                            </w:pPr>
                            <w:r>
                              <w:rPr>
                                <w:rFonts w:ascii="Papyrus" w:hAnsi="Papyrus"/>
                                <w:b/>
                                <w:i/>
                                <w:color w:val="5F497A" w:themeColor="accent4" w:themeShade="BF"/>
                                <w:sz w:val="36"/>
                                <w:szCs w:val="36"/>
                              </w:rPr>
                              <w:t>In Jesus we live learn and serve</w:t>
                            </w:r>
                          </w:p>
                          <w:p w14:paraId="1C690DE2" w14:textId="77777777" w:rsidR="00BF75A3" w:rsidRDefault="00652B2B">
                            <w:pPr>
                              <w:pStyle w:val="Default"/>
                              <w:jc w:val="center"/>
                              <w:rPr>
                                <w:rFonts w:ascii="Century Gothic" w:hAnsi="Century Gothic"/>
                                <w:color w:val="0000CC"/>
                                <w:sz w:val="36"/>
                                <w:szCs w:val="36"/>
                              </w:rPr>
                            </w:pPr>
                            <w:r>
                              <w:rPr>
                                <w:rFonts w:ascii="Century Gothic" w:hAnsi="Century Gothic"/>
                                <w:color w:val="0000CC"/>
                                <w:sz w:val="36"/>
                                <w:szCs w:val="36"/>
                              </w:rPr>
                              <w:t>Together we are committed to excellent education for all</w:t>
                            </w:r>
                          </w:p>
                          <w:p w14:paraId="1C690DE3" w14:textId="77777777" w:rsidR="00BF75A3" w:rsidRDefault="00652B2B">
                            <w:pPr>
                              <w:pStyle w:val="Default"/>
                              <w:jc w:val="center"/>
                              <w:rPr>
                                <w:rFonts w:ascii="Century Gothic" w:hAnsi="Century Gothic"/>
                                <w:color w:val="0000CC"/>
                                <w:sz w:val="36"/>
                                <w:szCs w:val="36"/>
                              </w:rPr>
                            </w:pPr>
                            <w:r>
                              <w:rPr>
                                <w:rFonts w:ascii="Century Gothic" w:hAnsi="Century Gothic"/>
                                <w:color w:val="0000CC"/>
                                <w:sz w:val="36"/>
                                <w:szCs w:val="36"/>
                              </w:rPr>
                              <w:t>rooted in Gospel values,</w:t>
                            </w:r>
                          </w:p>
                          <w:p w14:paraId="1C690DE4" w14:textId="77777777" w:rsidR="00BF75A3" w:rsidRDefault="00652B2B">
                            <w:pPr>
                              <w:pStyle w:val="Default"/>
                              <w:jc w:val="center"/>
                              <w:rPr>
                                <w:rFonts w:ascii="Century Gothic" w:hAnsi="Century Gothic"/>
                                <w:color w:val="0000CC"/>
                                <w:sz w:val="36"/>
                                <w:szCs w:val="36"/>
                              </w:rPr>
                            </w:pPr>
                            <w:r>
                              <w:rPr>
                                <w:rFonts w:ascii="Century Gothic" w:hAnsi="Century Gothic"/>
                                <w:color w:val="0000CC"/>
                                <w:sz w:val="36"/>
                                <w:szCs w:val="36"/>
                              </w:rPr>
                              <w:t>inspiring a love for life-long learning</w:t>
                            </w:r>
                          </w:p>
                          <w:p w14:paraId="1C690DE5" w14:textId="77777777" w:rsidR="00BF75A3" w:rsidRDefault="00652B2B">
                            <w:pPr>
                              <w:pStyle w:val="Default"/>
                              <w:jc w:val="center"/>
                              <w:rPr>
                                <w:rFonts w:ascii="Century Gothic" w:hAnsi="Century Gothic"/>
                                <w:color w:val="0000CC"/>
                                <w:sz w:val="36"/>
                                <w:szCs w:val="36"/>
                              </w:rPr>
                            </w:pPr>
                            <w:r>
                              <w:rPr>
                                <w:rFonts w:ascii="Century Gothic" w:hAnsi="Century Gothic"/>
                                <w:color w:val="0000CC"/>
                                <w:sz w:val="36"/>
                                <w:szCs w:val="36"/>
                              </w:rPr>
                              <w:t xml:space="preserve">and following the </w:t>
                            </w:r>
                            <w:r>
                              <w:rPr>
                                <w:rFonts w:ascii="Century Gothic" w:hAnsi="Century Gothic"/>
                                <w:color w:val="0000CC"/>
                                <w:sz w:val="36"/>
                                <w:szCs w:val="36"/>
                              </w:rPr>
                              <w:t>compassion of Christ.</w:t>
                            </w:r>
                          </w:p>
                          <w:p w14:paraId="1C690DE6" w14:textId="77777777" w:rsidR="00BF75A3" w:rsidRDefault="00BF75A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90DD4" id="_x0000_t202" coordsize="21600,21600" o:spt="202" path="m,l,21600r21600,l21600,xe">
                <v:stroke joinstyle="miter"/>
                <v:path gradientshapeok="t" o:connecttype="rect"/>
              </v:shapetype>
              <v:shape id="Text Box 65" o:spid="_x0000_s1026" type="#_x0000_t202" style="position:absolute;left:0;text-align:left;margin-left:-30.75pt;margin-top:8.65pt;width:503.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" fillcolor="white [3201]" strokecolor="#00c" strokeweight="2pt">
                <v:textbox>
                  <w:txbxContent>
                    <w:p w14:paraId="1C690DE1" w14:textId="77777777" w:rsidR="00BF75A3" w:rsidRDefault="00652B2B">
                      <w:pPr>
                        <w:pStyle w:val="Header"/>
                        <w:jc w:val="center"/>
                        <w:rPr>
                          <w:rFonts w:ascii="Papyrus" w:hAnsi="Papyrus"/>
                          <w:b/>
                          <w:i/>
                          <w:color w:val="5F497A" w:themeColor="accent4" w:themeShade="BF"/>
                          <w:sz w:val="36"/>
                          <w:szCs w:val="36"/>
                        </w:rPr>
                      </w:pPr>
                      <w:r>
                        <w:rPr>
                          <w:rFonts w:ascii="Papyrus" w:hAnsi="Papyrus"/>
                          <w:b/>
                          <w:i/>
                          <w:color w:val="5F497A" w:themeColor="accent4" w:themeShade="BF"/>
                          <w:sz w:val="36"/>
                          <w:szCs w:val="36"/>
                        </w:rPr>
                        <w:t>In Jesus we live learn and serve</w:t>
                      </w:r>
                    </w:p>
                    <w:p w14:paraId="1C690DE2" w14:textId="77777777" w:rsidR="00BF75A3" w:rsidRDefault="00652B2B">
                      <w:pPr>
                        <w:pStyle w:val="Default"/>
                        <w:jc w:val="center"/>
                        <w:rPr>
                          <w:rFonts w:ascii="Century Gothic" w:hAnsi="Century Gothic"/>
                          <w:color w:val="0000CC"/>
                          <w:sz w:val="36"/>
                          <w:szCs w:val="36"/>
                        </w:rPr>
                      </w:pPr>
                      <w:r>
                        <w:rPr>
                          <w:rFonts w:ascii="Century Gothic" w:hAnsi="Century Gothic"/>
                          <w:color w:val="0000CC"/>
                          <w:sz w:val="36"/>
                          <w:szCs w:val="36"/>
                        </w:rPr>
                        <w:t>Together we are committed to excellent education for all</w:t>
                      </w:r>
                    </w:p>
                    <w:p w14:paraId="1C690DE3" w14:textId="77777777" w:rsidR="00BF75A3" w:rsidRDefault="00652B2B">
                      <w:pPr>
                        <w:pStyle w:val="Default"/>
                        <w:jc w:val="center"/>
                        <w:rPr>
                          <w:rFonts w:ascii="Century Gothic" w:hAnsi="Century Gothic"/>
                          <w:color w:val="0000CC"/>
                          <w:sz w:val="36"/>
                          <w:szCs w:val="36"/>
                        </w:rPr>
                      </w:pPr>
                      <w:r>
                        <w:rPr>
                          <w:rFonts w:ascii="Century Gothic" w:hAnsi="Century Gothic"/>
                          <w:color w:val="0000CC"/>
                          <w:sz w:val="36"/>
                          <w:szCs w:val="36"/>
                        </w:rPr>
                        <w:t>rooted in Gospel values,</w:t>
                      </w:r>
                    </w:p>
                    <w:p w14:paraId="1C690DE4" w14:textId="77777777" w:rsidR="00BF75A3" w:rsidRDefault="00652B2B">
                      <w:pPr>
                        <w:pStyle w:val="Default"/>
                        <w:jc w:val="center"/>
                        <w:rPr>
                          <w:rFonts w:ascii="Century Gothic" w:hAnsi="Century Gothic"/>
                          <w:color w:val="0000CC"/>
                          <w:sz w:val="36"/>
                          <w:szCs w:val="36"/>
                        </w:rPr>
                      </w:pPr>
                      <w:r>
                        <w:rPr>
                          <w:rFonts w:ascii="Century Gothic" w:hAnsi="Century Gothic"/>
                          <w:color w:val="0000CC"/>
                          <w:sz w:val="36"/>
                          <w:szCs w:val="36"/>
                        </w:rPr>
                        <w:t>inspiring a love for life-long learning</w:t>
                      </w:r>
                    </w:p>
                    <w:p w14:paraId="1C690DE5" w14:textId="77777777" w:rsidR="00BF75A3" w:rsidRDefault="00652B2B">
                      <w:pPr>
                        <w:pStyle w:val="Default"/>
                        <w:jc w:val="center"/>
                        <w:rPr>
                          <w:rFonts w:ascii="Century Gothic" w:hAnsi="Century Gothic"/>
                          <w:color w:val="0000CC"/>
                          <w:sz w:val="36"/>
                          <w:szCs w:val="36"/>
                        </w:rPr>
                      </w:pPr>
                      <w:r>
                        <w:rPr>
                          <w:rFonts w:ascii="Century Gothic" w:hAnsi="Century Gothic"/>
                          <w:color w:val="0000CC"/>
                          <w:sz w:val="36"/>
                          <w:szCs w:val="36"/>
                        </w:rPr>
                        <w:t xml:space="preserve">and following the </w:t>
                      </w:r>
                      <w:r>
                        <w:rPr>
                          <w:rFonts w:ascii="Century Gothic" w:hAnsi="Century Gothic"/>
                          <w:color w:val="0000CC"/>
                          <w:sz w:val="36"/>
                          <w:szCs w:val="36"/>
                        </w:rPr>
                        <w:t>compassion of Christ.</w:t>
                      </w:r>
                    </w:p>
                    <w:p w14:paraId="1C690DE6" w14:textId="77777777" w:rsidR="00BF75A3" w:rsidRDefault="00BF75A3">
                      <w:pPr>
                        <w:jc w:val="center"/>
                      </w:pPr>
                    </w:p>
                  </w:txbxContent>
                </v:textbox>
              </v:shape>
            </w:pict>
          </mc:Fallback>
        </mc:AlternateContent>
      </w:r>
    </w:p>
    <w:p w14:paraId="1C690C7D" w14:textId="77777777" w:rsidR="00BF75A3" w:rsidRDefault="00BF75A3">
      <w:pPr>
        <w:rPr>
          <w:rFonts w:ascii="Arial" w:hAnsi="Arial" w:cs="Arial"/>
          <w:b/>
          <w:sz w:val="24"/>
          <w:szCs w:val="24"/>
          <w:u w:val="single"/>
        </w:rPr>
      </w:pPr>
    </w:p>
    <w:p w14:paraId="1C690C7E" w14:textId="77777777" w:rsidR="00BF75A3" w:rsidRDefault="00BF75A3">
      <w:pPr>
        <w:rPr>
          <w:rFonts w:ascii="Arial" w:hAnsi="Arial" w:cs="Arial"/>
          <w:b/>
          <w:sz w:val="24"/>
          <w:szCs w:val="24"/>
          <w:u w:val="single"/>
        </w:rPr>
      </w:pPr>
    </w:p>
    <w:p w14:paraId="1C690C7F" w14:textId="77777777" w:rsidR="00BF75A3" w:rsidRDefault="00BF75A3">
      <w:pPr>
        <w:rPr>
          <w:rFonts w:ascii="Arial" w:hAnsi="Arial" w:cs="Arial"/>
          <w:b/>
          <w:sz w:val="24"/>
          <w:szCs w:val="24"/>
          <w:u w:val="single"/>
        </w:rPr>
      </w:pPr>
    </w:p>
    <w:p w14:paraId="1C690C80" w14:textId="77777777" w:rsidR="00BF75A3" w:rsidRDefault="00BF75A3">
      <w:pPr>
        <w:rPr>
          <w:rFonts w:ascii="Arial" w:hAnsi="Arial" w:cs="Arial"/>
          <w:b/>
          <w:sz w:val="24"/>
          <w:szCs w:val="24"/>
          <w:u w:val="single"/>
        </w:rPr>
      </w:pPr>
    </w:p>
    <w:p w14:paraId="1C690C81" w14:textId="77777777" w:rsidR="00BF75A3" w:rsidRDefault="00BF75A3">
      <w:pPr>
        <w:rPr>
          <w:rFonts w:ascii="Arial" w:hAnsi="Arial" w:cs="Arial"/>
          <w:b/>
          <w:sz w:val="24"/>
          <w:szCs w:val="24"/>
          <w:u w:val="single"/>
        </w:rPr>
      </w:pPr>
    </w:p>
    <w:p w14:paraId="1C690C82" w14:textId="77777777" w:rsidR="00BF75A3" w:rsidRDefault="00BF75A3">
      <w:pPr>
        <w:rPr>
          <w:rFonts w:ascii="Arial" w:hAnsi="Arial" w:cs="Arial"/>
          <w:b/>
          <w:sz w:val="24"/>
          <w:szCs w:val="24"/>
          <w:u w:val="single"/>
        </w:rPr>
      </w:pPr>
    </w:p>
    <w:p w14:paraId="1C690C83" w14:textId="77777777" w:rsidR="00BF75A3" w:rsidRDefault="00BF75A3">
      <w:pPr>
        <w:rPr>
          <w:rFonts w:ascii="Arial" w:hAnsi="Arial" w:cs="Arial"/>
          <w:b/>
          <w:sz w:val="24"/>
          <w:szCs w:val="24"/>
          <w:u w:val="single"/>
        </w:rPr>
      </w:pPr>
    </w:p>
    <w:p w14:paraId="1C690C84" w14:textId="77777777" w:rsidR="00BF75A3" w:rsidRDefault="00652B2B">
      <w:pPr>
        <w:spacing w:after="0"/>
        <w:jc w:val="center"/>
        <w:rPr>
          <w:rFonts w:cstheme="minorHAnsi"/>
          <w:sz w:val="44"/>
          <w:szCs w:val="44"/>
        </w:rPr>
      </w:pPr>
      <w:r>
        <w:rPr>
          <w:rFonts w:cstheme="minorHAnsi"/>
          <w:sz w:val="44"/>
          <w:szCs w:val="44"/>
        </w:rPr>
        <w:t>Called as God’s family;</w:t>
      </w:r>
    </w:p>
    <w:p w14:paraId="1C690C85" w14:textId="77777777" w:rsidR="00BF75A3" w:rsidRDefault="00652B2B">
      <w:pPr>
        <w:spacing w:after="0"/>
        <w:jc w:val="center"/>
        <w:rPr>
          <w:rFonts w:cstheme="minorHAnsi"/>
          <w:sz w:val="44"/>
          <w:szCs w:val="44"/>
        </w:rPr>
      </w:pPr>
      <w:r>
        <w:rPr>
          <w:rFonts w:cstheme="minorHAnsi"/>
          <w:sz w:val="44"/>
          <w:szCs w:val="44"/>
        </w:rPr>
        <w:t>we strive to achieve our personal best</w:t>
      </w:r>
    </w:p>
    <w:p w14:paraId="1C690C86" w14:textId="77777777" w:rsidR="00BF75A3" w:rsidRDefault="00652B2B">
      <w:pPr>
        <w:spacing w:after="0"/>
        <w:jc w:val="center"/>
        <w:rPr>
          <w:rFonts w:cstheme="minorHAnsi"/>
          <w:sz w:val="44"/>
          <w:szCs w:val="44"/>
        </w:rPr>
      </w:pPr>
      <w:r>
        <w:rPr>
          <w:rFonts w:cstheme="minorHAnsi"/>
          <w:sz w:val="44"/>
          <w:szCs w:val="44"/>
        </w:rPr>
        <w:t>by living and learning in Christ</w:t>
      </w:r>
    </w:p>
    <w:p w14:paraId="1C690C87" w14:textId="77777777" w:rsidR="00BF75A3" w:rsidRDefault="00BF75A3">
      <w:pPr>
        <w:rPr>
          <w:rFonts w:ascii="Arial" w:hAnsi="Arial" w:cs="Arial"/>
          <w:b/>
          <w:sz w:val="24"/>
          <w:szCs w:val="24"/>
          <w:u w:val="single"/>
        </w:rPr>
      </w:pPr>
    </w:p>
    <w:p w14:paraId="1C690C88" w14:textId="77777777" w:rsidR="00BF75A3" w:rsidRDefault="00652B2B">
      <w:pPr>
        <w:rPr>
          <w:rFonts w:cstheme="minorHAnsi"/>
          <w:b/>
          <w:u w:val="single"/>
        </w:rPr>
      </w:pPr>
      <w:r>
        <w:rPr>
          <w:rFonts w:cstheme="minorHAnsi"/>
          <w:b/>
          <w:u w:val="single"/>
        </w:rPr>
        <w:t>Principles:</w:t>
      </w:r>
    </w:p>
    <w:p w14:paraId="1C690C89" w14:textId="77777777" w:rsidR="00BF75A3" w:rsidRDefault="00652B2B">
      <w:pPr>
        <w:rPr>
          <w:rFonts w:cstheme="minorHAnsi"/>
        </w:rPr>
      </w:pPr>
      <w:r>
        <w:rPr>
          <w:rFonts w:cstheme="minorHAnsi"/>
        </w:rPr>
        <w:t>Every child with his/her individual needs is a unique gift from God.</w:t>
      </w:r>
    </w:p>
    <w:p w14:paraId="1C690C8A" w14:textId="77777777" w:rsidR="00BF75A3" w:rsidRDefault="00652B2B">
      <w:pPr>
        <w:rPr>
          <w:rFonts w:cstheme="minorHAnsi"/>
        </w:rPr>
      </w:pPr>
      <w:r>
        <w:rPr>
          <w:rFonts w:cstheme="minorHAnsi"/>
        </w:rPr>
        <w:t xml:space="preserve">All members of staff and governors accept </w:t>
      </w:r>
      <w:r>
        <w:rPr>
          <w:rFonts w:cstheme="minorHAnsi"/>
        </w:rPr>
        <w:t>responsibility for ‘socially disadvantaged’ pupils and are committed to meeting their pastoral, social and academic needs within a caring Catholic environment.  This is an essential, integral part of the spiritual development of the whole school community.</w:t>
      </w:r>
    </w:p>
    <w:p w14:paraId="1C690C8B" w14:textId="77777777" w:rsidR="00BF75A3" w:rsidRDefault="00652B2B">
      <w:pPr>
        <w:rPr>
          <w:rFonts w:cstheme="minorHAnsi"/>
        </w:rPr>
      </w:pPr>
      <w:r>
        <w:rPr>
          <w:rFonts w:cstheme="minorHAnsi"/>
        </w:rPr>
        <w:t>As with every child in our care, a child who is considered to be ‘socially disadvantaged’ is valued, respected and entitled to develop his/her full potential irrespective of need.</w:t>
      </w:r>
    </w:p>
    <w:p w14:paraId="1C690C8C" w14:textId="77777777" w:rsidR="00BF75A3" w:rsidRDefault="00BF75A3">
      <w:pPr>
        <w:rPr>
          <w:rFonts w:cstheme="minorHAnsi"/>
          <w:b/>
          <w:u w:val="single"/>
        </w:rPr>
      </w:pPr>
    </w:p>
    <w:p w14:paraId="1C690C8D" w14:textId="77777777" w:rsidR="00BF75A3" w:rsidRDefault="00652B2B">
      <w:pPr>
        <w:rPr>
          <w:rFonts w:cstheme="minorHAnsi"/>
          <w:b/>
          <w:u w:val="single"/>
        </w:rPr>
      </w:pPr>
      <w:r>
        <w:rPr>
          <w:rFonts w:cstheme="minorHAnsi"/>
          <w:b/>
          <w:u w:val="single"/>
        </w:rPr>
        <w:t>Background:</w:t>
      </w:r>
    </w:p>
    <w:p w14:paraId="1C690C8E" w14:textId="77777777" w:rsidR="00BF75A3" w:rsidRDefault="00652B2B">
      <w:pPr>
        <w:rPr>
          <w:rFonts w:cstheme="minorHAnsi"/>
        </w:rPr>
      </w:pPr>
      <w:r>
        <w:rPr>
          <w:rFonts w:cstheme="minorHAnsi"/>
        </w:rPr>
        <w:t>The Pupil Premium is an initiative that targets extra money at</w:t>
      </w:r>
      <w:r>
        <w:rPr>
          <w:rFonts w:cstheme="minorHAnsi"/>
        </w:rPr>
        <w:t xml:space="preserve"> pupils from deprived backgrounds.  Research shows that pupils from deprived backgrounds underachieve compared to their non-deprived peers.  The premium is provided in order to support these pupils in reaching their potential.</w:t>
      </w:r>
    </w:p>
    <w:p w14:paraId="1C690C8F" w14:textId="77777777" w:rsidR="00BF75A3" w:rsidRDefault="00652B2B">
      <w:pPr>
        <w:rPr>
          <w:rFonts w:cstheme="minorHAnsi"/>
        </w:rPr>
      </w:pPr>
      <w:r>
        <w:rPr>
          <w:rFonts w:cstheme="minorHAnsi"/>
        </w:rPr>
        <w:t>The Government has used Looke</w:t>
      </w:r>
      <w:r>
        <w:rPr>
          <w:rFonts w:cstheme="minorHAnsi"/>
        </w:rPr>
        <w:t xml:space="preserve">d After Children and pupils entitled to Free School Meals as an indicator for deprivation, and have deployed a fixed amount of money to schools per pupil, based on the number of pupils registered for Free School Meals over a rolling six-year period.  This </w:t>
      </w:r>
      <w:r>
        <w:rPr>
          <w:rFonts w:cstheme="minorHAnsi"/>
        </w:rPr>
        <w:t>fixed amount of money is expected to increase every year of the course of this current Parliament.  A premium has also been introduced for children whose parents are serving in the armed forces.  This service premium is designed to address the emotional an</w:t>
      </w:r>
      <w:r>
        <w:rPr>
          <w:rFonts w:cstheme="minorHAnsi"/>
        </w:rPr>
        <w:t xml:space="preserve">d social wellbeing of these pupils.  Eligible students are identified on a </w:t>
      </w:r>
      <w:r>
        <w:rPr>
          <w:rFonts w:cstheme="minorHAnsi"/>
        </w:rPr>
        <w:lastRenderedPageBreak/>
        <w:t>Government produced list called ‘The Ever6 List’.  At Hagley Catholic High School, we will be using the Ever6 List as well as other identified vulnerable groups as our target childr</w:t>
      </w:r>
      <w:r>
        <w:rPr>
          <w:rFonts w:cstheme="minorHAnsi"/>
        </w:rPr>
        <w:t xml:space="preserve">en to ‘close the gap’ </w:t>
      </w:r>
    </w:p>
    <w:p w14:paraId="1C690C90" w14:textId="77777777" w:rsidR="00BF75A3" w:rsidRDefault="00652B2B">
      <w:pPr>
        <w:rPr>
          <w:rFonts w:cstheme="minorHAnsi"/>
        </w:rPr>
      </w:pPr>
      <w:r>
        <w:rPr>
          <w:rFonts w:cstheme="minorHAnsi"/>
        </w:rPr>
        <w:t xml:space="preserve">The Government is not instructing schools as to how they should spend this money; it is not ring-fenced and schools are ‘free to spend the money as they see fit’ DfE 2011.  The Government, however, is clear that schools will need to </w:t>
      </w:r>
      <w:r>
        <w:rPr>
          <w:rFonts w:cstheme="minorHAnsi"/>
        </w:rPr>
        <w:t>employ the strategies that they know will support their pupils to increase their attainment, and ‘close the gap’.  Schools are accountable for closing the gap, and there is planned reform to the school performance tables to include new measures that show t</w:t>
      </w:r>
      <w:r>
        <w:rPr>
          <w:rFonts w:cstheme="minorHAnsi"/>
        </w:rPr>
        <w:t>he attainment of pupils who receive the pupil premium compared with their peers.</w:t>
      </w:r>
    </w:p>
    <w:p w14:paraId="1C690C91" w14:textId="77777777" w:rsidR="00BF75A3" w:rsidRDefault="00652B2B">
      <w:pPr>
        <w:rPr>
          <w:rFonts w:cstheme="minorHAnsi"/>
          <w:b/>
          <w:u w:val="single"/>
        </w:rPr>
      </w:pPr>
      <w:r>
        <w:rPr>
          <w:rFonts w:cstheme="minorHAnsi"/>
          <w:b/>
          <w:u w:val="single"/>
        </w:rPr>
        <w:t>Overall Objectives:</w:t>
      </w:r>
    </w:p>
    <w:p w14:paraId="1C690C92" w14:textId="77777777" w:rsidR="00BF75A3" w:rsidRDefault="00652B2B">
      <w:pPr>
        <w:pStyle w:val="ListParagraph"/>
        <w:numPr>
          <w:ilvl w:val="0"/>
          <w:numId w:val="8"/>
        </w:numPr>
        <w:rPr>
          <w:rFonts w:cstheme="minorHAnsi"/>
        </w:rPr>
      </w:pPr>
      <w:r>
        <w:rPr>
          <w:rFonts w:cstheme="minorHAnsi"/>
        </w:rPr>
        <w:t xml:space="preserve">Our school will ensure that the Pupil Premium funding reaches the groups for whom it is intended and that it makes a significant impact on their education </w:t>
      </w:r>
      <w:r>
        <w:rPr>
          <w:rFonts w:cstheme="minorHAnsi"/>
        </w:rPr>
        <w:t>and lives.</w:t>
      </w:r>
    </w:p>
    <w:p w14:paraId="1C690C93" w14:textId="77777777" w:rsidR="00BF75A3" w:rsidRDefault="00652B2B">
      <w:pPr>
        <w:pStyle w:val="ListParagraph"/>
        <w:numPr>
          <w:ilvl w:val="0"/>
          <w:numId w:val="8"/>
        </w:numPr>
        <w:rPr>
          <w:rFonts w:cstheme="minorHAnsi"/>
        </w:rPr>
      </w:pPr>
      <w:r>
        <w:rPr>
          <w:rFonts w:cstheme="minorHAnsi"/>
        </w:rPr>
        <w:t>The Pupil Premium will be used to provide additional education and support to improve the progress and raise the achievement for these pupils.</w:t>
      </w:r>
    </w:p>
    <w:p w14:paraId="1C690C94" w14:textId="77777777" w:rsidR="00BF75A3" w:rsidRDefault="00652B2B">
      <w:pPr>
        <w:pStyle w:val="ListParagraph"/>
        <w:numPr>
          <w:ilvl w:val="0"/>
          <w:numId w:val="8"/>
        </w:numPr>
        <w:rPr>
          <w:rFonts w:cstheme="minorHAnsi"/>
        </w:rPr>
      </w:pPr>
      <w:r>
        <w:rPr>
          <w:rFonts w:cstheme="minorHAnsi"/>
        </w:rPr>
        <w:t>The funding will be used to narrow and close the gap between the achievement of these pupils and their</w:t>
      </w:r>
      <w:r>
        <w:rPr>
          <w:rFonts w:cstheme="minorHAnsi"/>
        </w:rPr>
        <w:t xml:space="preserve"> peers.</w:t>
      </w:r>
    </w:p>
    <w:p w14:paraId="1C690C95" w14:textId="77777777" w:rsidR="00BF75A3" w:rsidRDefault="00652B2B">
      <w:pPr>
        <w:pStyle w:val="ListParagraph"/>
        <w:numPr>
          <w:ilvl w:val="0"/>
          <w:numId w:val="8"/>
        </w:numPr>
        <w:rPr>
          <w:rFonts w:cstheme="minorHAnsi"/>
        </w:rPr>
      </w:pPr>
      <w:r>
        <w:rPr>
          <w:rFonts w:cstheme="minorHAnsi"/>
        </w:rPr>
        <w:t>The school will use the additional funding to address any underlying inequalities between children eligible for Pupil Premium and others.</w:t>
      </w:r>
    </w:p>
    <w:p w14:paraId="1C690C96" w14:textId="77777777" w:rsidR="00BF75A3" w:rsidRDefault="00652B2B">
      <w:pPr>
        <w:rPr>
          <w:rFonts w:cstheme="minorHAnsi"/>
          <w:b/>
          <w:u w:val="single"/>
        </w:rPr>
      </w:pPr>
      <w:r>
        <w:rPr>
          <w:rFonts w:cstheme="minorHAnsi"/>
          <w:b/>
          <w:u w:val="single"/>
        </w:rPr>
        <w:t>Provisional Numbers 2019-20</w:t>
      </w:r>
    </w:p>
    <w:tbl>
      <w:tblPr>
        <w:tblpPr w:leftFromText="180" w:rightFromText="180" w:vertAnchor="text" w:horzAnchor="margin" w:tblpXSpec="center" w:tblpY="26"/>
        <w:tblW w:w="10249" w:type="dxa"/>
        <w:tblLook w:val="04A0" w:firstRow="1" w:lastRow="0" w:firstColumn="1" w:lastColumn="0" w:noHBand="0" w:noVBand="1"/>
      </w:tblPr>
      <w:tblGrid>
        <w:gridCol w:w="2122"/>
        <w:gridCol w:w="1028"/>
        <w:gridCol w:w="1098"/>
        <w:gridCol w:w="1028"/>
        <w:gridCol w:w="1028"/>
        <w:gridCol w:w="1028"/>
        <w:gridCol w:w="1028"/>
        <w:gridCol w:w="1028"/>
        <w:gridCol w:w="861"/>
      </w:tblGrid>
      <w:tr w:rsidR="00BF75A3" w14:paraId="1C690CA0" w14:textId="77777777">
        <w:trPr>
          <w:trHeight w:val="348"/>
        </w:trPr>
        <w:tc>
          <w:tcPr>
            <w:tcW w:w="2122" w:type="dxa"/>
            <w:tcBorders>
              <w:top w:val="single" w:sz="4" w:space="0" w:color="auto"/>
              <w:left w:val="single" w:sz="4" w:space="0" w:color="auto"/>
              <w:bottom w:val="single" w:sz="4" w:space="0" w:color="auto"/>
              <w:right w:val="single" w:sz="4" w:space="0" w:color="auto"/>
            </w:tcBorders>
            <w:shd w:val="clear" w:color="auto" w:fill="BABABC"/>
            <w:noWrap/>
            <w:vAlign w:val="center"/>
            <w:hideMark/>
          </w:tcPr>
          <w:p w14:paraId="1C690C97" w14:textId="77777777" w:rsidR="00BF75A3" w:rsidRDefault="00652B2B">
            <w:pPr>
              <w:spacing w:after="0" w:line="240" w:lineRule="auto"/>
              <w:jc w:val="center"/>
              <w:rPr>
                <w:rFonts w:eastAsia="Times New Roman" w:cstheme="minorHAnsi"/>
                <w:b/>
                <w:color w:val="000000"/>
                <w:lang w:eastAsia="en-GB"/>
              </w:rPr>
            </w:pPr>
            <w:bookmarkStart w:id="0" w:name="_Hlk51579307"/>
            <w:r>
              <w:rPr>
                <w:rFonts w:eastAsia="Times New Roman" w:cstheme="minorHAnsi"/>
                <w:b/>
                <w:color w:val="000000"/>
                <w:lang w:eastAsia="en-GB"/>
              </w:rPr>
              <w:t>Hagley Catholic High School</w:t>
            </w:r>
          </w:p>
        </w:tc>
        <w:tc>
          <w:tcPr>
            <w:tcW w:w="992" w:type="dxa"/>
            <w:tcBorders>
              <w:top w:val="single" w:sz="4" w:space="0" w:color="auto"/>
              <w:left w:val="nil"/>
              <w:bottom w:val="single" w:sz="4" w:space="0" w:color="auto"/>
              <w:right w:val="single" w:sz="4" w:space="0" w:color="auto"/>
            </w:tcBorders>
            <w:shd w:val="clear" w:color="auto" w:fill="BABABC"/>
            <w:noWrap/>
            <w:vAlign w:val="center"/>
            <w:hideMark/>
          </w:tcPr>
          <w:p w14:paraId="1C690C98" w14:textId="77777777" w:rsidR="00BF75A3" w:rsidRDefault="00652B2B">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Whole school</w:t>
            </w:r>
          </w:p>
        </w:tc>
        <w:tc>
          <w:tcPr>
            <w:tcW w:w="1134" w:type="dxa"/>
            <w:tcBorders>
              <w:top w:val="single" w:sz="4" w:space="0" w:color="auto"/>
              <w:left w:val="single" w:sz="4" w:space="0" w:color="auto"/>
              <w:bottom w:val="single" w:sz="4" w:space="0" w:color="auto"/>
              <w:right w:val="single" w:sz="4" w:space="0" w:color="auto"/>
            </w:tcBorders>
            <w:shd w:val="clear" w:color="auto" w:fill="BABABC"/>
            <w:vAlign w:val="center"/>
          </w:tcPr>
          <w:p w14:paraId="1C690C99" w14:textId="77777777" w:rsidR="00BF75A3" w:rsidRDefault="00652B2B">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Year 7</w:t>
            </w:r>
          </w:p>
        </w:tc>
        <w:tc>
          <w:tcPr>
            <w:tcW w:w="1028" w:type="dxa"/>
            <w:tcBorders>
              <w:top w:val="single" w:sz="4" w:space="0" w:color="auto"/>
              <w:left w:val="single" w:sz="4" w:space="0" w:color="auto"/>
              <w:bottom w:val="single" w:sz="4" w:space="0" w:color="auto"/>
              <w:right w:val="single" w:sz="4" w:space="0" w:color="auto"/>
            </w:tcBorders>
            <w:shd w:val="clear" w:color="auto" w:fill="BABABC"/>
            <w:vAlign w:val="center"/>
          </w:tcPr>
          <w:p w14:paraId="1C690C9A" w14:textId="77777777" w:rsidR="00BF75A3" w:rsidRDefault="00652B2B">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Year 8</w:t>
            </w:r>
          </w:p>
        </w:tc>
        <w:tc>
          <w:tcPr>
            <w:tcW w:w="1028" w:type="dxa"/>
            <w:tcBorders>
              <w:top w:val="single" w:sz="4" w:space="0" w:color="auto"/>
              <w:left w:val="single" w:sz="4" w:space="0" w:color="auto"/>
              <w:bottom w:val="single" w:sz="4" w:space="0" w:color="auto"/>
              <w:right w:val="single" w:sz="4" w:space="0" w:color="auto"/>
            </w:tcBorders>
            <w:shd w:val="clear" w:color="auto" w:fill="BABABC"/>
            <w:vAlign w:val="center"/>
          </w:tcPr>
          <w:p w14:paraId="1C690C9B" w14:textId="77777777" w:rsidR="00BF75A3" w:rsidRDefault="00652B2B">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Year 9</w:t>
            </w:r>
          </w:p>
        </w:tc>
        <w:tc>
          <w:tcPr>
            <w:tcW w:w="1028" w:type="dxa"/>
            <w:tcBorders>
              <w:top w:val="single" w:sz="4" w:space="0" w:color="auto"/>
              <w:left w:val="single" w:sz="4" w:space="0" w:color="auto"/>
              <w:bottom w:val="single" w:sz="4" w:space="0" w:color="auto"/>
              <w:right w:val="single" w:sz="4" w:space="0" w:color="auto"/>
            </w:tcBorders>
            <w:shd w:val="clear" w:color="auto" w:fill="BABABC"/>
            <w:vAlign w:val="center"/>
          </w:tcPr>
          <w:p w14:paraId="1C690C9C" w14:textId="77777777" w:rsidR="00BF75A3" w:rsidRDefault="00652B2B">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 xml:space="preserve">Year 10 </w:t>
            </w:r>
          </w:p>
        </w:tc>
        <w:tc>
          <w:tcPr>
            <w:tcW w:w="1028" w:type="dxa"/>
            <w:tcBorders>
              <w:top w:val="single" w:sz="4" w:space="0" w:color="auto"/>
              <w:left w:val="single" w:sz="4" w:space="0" w:color="auto"/>
              <w:bottom w:val="single" w:sz="4" w:space="0" w:color="auto"/>
              <w:right w:val="single" w:sz="4" w:space="0" w:color="auto"/>
            </w:tcBorders>
            <w:shd w:val="clear" w:color="auto" w:fill="BABABC"/>
            <w:vAlign w:val="center"/>
          </w:tcPr>
          <w:p w14:paraId="1C690C9D" w14:textId="77777777" w:rsidR="00BF75A3" w:rsidRDefault="00652B2B">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Year 11</w:t>
            </w:r>
          </w:p>
        </w:tc>
        <w:tc>
          <w:tcPr>
            <w:tcW w:w="1028" w:type="dxa"/>
            <w:tcBorders>
              <w:top w:val="single" w:sz="4" w:space="0" w:color="auto"/>
              <w:left w:val="single" w:sz="4" w:space="0" w:color="auto"/>
              <w:bottom w:val="single" w:sz="4" w:space="0" w:color="auto"/>
              <w:right w:val="single" w:sz="4" w:space="0" w:color="auto"/>
            </w:tcBorders>
            <w:shd w:val="clear" w:color="auto" w:fill="BABABC"/>
            <w:vAlign w:val="center"/>
          </w:tcPr>
          <w:p w14:paraId="1C690C9E" w14:textId="77777777" w:rsidR="00BF75A3" w:rsidRDefault="00652B2B">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Year 12</w:t>
            </w:r>
          </w:p>
        </w:tc>
        <w:tc>
          <w:tcPr>
            <w:tcW w:w="861" w:type="dxa"/>
            <w:tcBorders>
              <w:top w:val="single" w:sz="4" w:space="0" w:color="auto"/>
              <w:left w:val="single" w:sz="4" w:space="0" w:color="auto"/>
              <w:bottom w:val="single" w:sz="4" w:space="0" w:color="auto"/>
              <w:right w:val="single" w:sz="4" w:space="0" w:color="auto"/>
            </w:tcBorders>
            <w:shd w:val="clear" w:color="auto" w:fill="BABABC"/>
            <w:vAlign w:val="center"/>
          </w:tcPr>
          <w:p w14:paraId="1C690C9F" w14:textId="77777777" w:rsidR="00BF75A3" w:rsidRDefault="00652B2B">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Year 13</w:t>
            </w:r>
          </w:p>
        </w:tc>
      </w:tr>
      <w:tr w:rsidR="00BF75A3" w14:paraId="1C690CAA" w14:textId="77777777">
        <w:trPr>
          <w:trHeight w:val="284"/>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1C690CA1" w14:textId="77777777" w:rsidR="00BF75A3" w:rsidRDefault="00652B2B">
            <w:pPr>
              <w:spacing w:after="0" w:line="240" w:lineRule="auto"/>
              <w:rPr>
                <w:rFonts w:eastAsia="Times New Roman" w:cstheme="minorHAnsi"/>
                <w:b/>
                <w:color w:val="000000"/>
                <w:lang w:eastAsia="en-GB"/>
              </w:rPr>
            </w:pPr>
            <w:r>
              <w:rPr>
                <w:rFonts w:eastAsia="Times New Roman" w:cstheme="minorHAnsi"/>
                <w:b/>
                <w:color w:val="000000"/>
                <w:lang w:eastAsia="en-GB"/>
              </w:rPr>
              <w:t xml:space="preserve">Number on roll </w:t>
            </w:r>
          </w:p>
        </w:tc>
        <w:tc>
          <w:tcPr>
            <w:tcW w:w="992" w:type="dxa"/>
            <w:tcBorders>
              <w:top w:val="nil"/>
              <w:left w:val="nil"/>
              <w:bottom w:val="single" w:sz="8" w:space="0" w:color="auto"/>
              <w:right w:val="single" w:sz="8" w:space="0" w:color="auto"/>
            </w:tcBorders>
            <w:shd w:val="clear" w:color="auto" w:fill="FFD006"/>
            <w:noWrap/>
            <w:vAlign w:val="center"/>
          </w:tcPr>
          <w:p w14:paraId="1C690CA2" w14:textId="77777777" w:rsidR="00BF75A3" w:rsidRDefault="00652B2B">
            <w:pPr>
              <w:widowControl w:val="0"/>
              <w:autoSpaceDE w:val="0"/>
              <w:autoSpaceDN w:val="0"/>
              <w:adjustRightInd w:val="0"/>
              <w:spacing w:after="0" w:line="240" w:lineRule="auto"/>
              <w:jc w:val="center"/>
              <w:rPr>
                <w:rFonts w:cstheme="minorHAnsi"/>
                <w:b/>
                <w:sz w:val="20"/>
                <w:szCs w:val="20"/>
                <w:highlight w:val="yellow"/>
              </w:rPr>
            </w:pPr>
            <w:r>
              <w:rPr>
                <w:rFonts w:ascii="Arial" w:hAnsi="Arial" w:cs="Arial"/>
                <w:b/>
                <w:bCs/>
                <w:sz w:val="20"/>
                <w:szCs w:val="20"/>
              </w:rPr>
              <w:t>1134</w:t>
            </w:r>
          </w:p>
        </w:tc>
        <w:tc>
          <w:tcPr>
            <w:tcW w:w="1134" w:type="dxa"/>
            <w:tcBorders>
              <w:top w:val="nil"/>
              <w:left w:val="nil"/>
              <w:bottom w:val="single" w:sz="8" w:space="0" w:color="auto"/>
              <w:right w:val="single" w:sz="8" w:space="0" w:color="auto"/>
            </w:tcBorders>
            <w:vAlign w:val="center"/>
          </w:tcPr>
          <w:p w14:paraId="1C690CA3"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190</w:t>
            </w:r>
          </w:p>
        </w:tc>
        <w:tc>
          <w:tcPr>
            <w:tcW w:w="1028" w:type="dxa"/>
            <w:tcBorders>
              <w:top w:val="nil"/>
              <w:left w:val="nil"/>
              <w:bottom w:val="single" w:sz="8" w:space="0" w:color="auto"/>
              <w:right w:val="single" w:sz="8" w:space="0" w:color="auto"/>
            </w:tcBorders>
            <w:vAlign w:val="center"/>
          </w:tcPr>
          <w:p w14:paraId="1C690CA4"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189</w:t>
            </w:r>
          </w:p>
        </w:tc>
        <w:tc>
          <w:tcPr>
            <w:tcW w:w="1028" w:type="dxa"/>
            <w:tcBorders>
              <w:top w:val="nil"/>
              <w:left w:val="nil"/>
              <w:bottom w:val="single" w:sz="8" w:space="0" w:color="auto"/>
              <w:right w:val="single" w:sz="8" w:space="0" w:color="auto"/>
            </w:tcBorders>
            <w:vAlign w:val="center"/>
          </w:tcPr>
          <w:p w14:paraId="1C690CA5"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190</w:t>
            </w:r>
          </w:p>
        </w:tc>
        <w:tc>
          <w:tcPr>
            <w:tcW w:w="1028" w:type="dxa"/>
            <w:tcBorders>
              <w:top w:val="nil"/>
              <w:left w:val="nil"/>
              <w:bottom w:val="single" w:sz="8" w:space="0" w:color="auto"/>
              <w:right w:val="single" w:sz="8" w:space="0" w:color="auto"/>
            </w:tcBorders>
            <w:vAlign w:val="center"/>
          </w:tcPr>
          <w:p w14:paraId="1C690CA6"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189</w:t>
            </w:r>
          </w:p>
        </w:tc>
        <w:tc>
          <w:tcPr>
            <w:tcW w:w="1028" w:type="dxa"/>
            <w:tcBorders>
              <w:top w:val="nil"/>
              <w:left w:val="nil"/>
              <w:bottom w:val="single" w:sz="8" w:space="0" w:color="auto"/>
              <w:right w:val="single" w:sz="8" w:space="0" w:color="auto"/>
            </w:tcBorders>
            <w:vAlign w:val="center"/>
          </w:tcPr>
          <w:p w14:paraId="1C690CA7"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164</w:t>
            </w:r>
          </w:p>
        </w:tc>
        <w:tc>
          <w:tcPr>
            <w:tcW w:w="1028" w:type="dxa"/>
            <w:tcBorders>
              <w:top w:val="nil"/>
              <w:left w:val="nil"/>
              <w:bottom w:val="single" w:sz="8" w:space="0" w:color="auto"/>
              <w:right w:val="single" w:sz="8" w:space="0" w:color="auto"/>
            </w:tcBorders>
            <w:vAlign w:val="center"/>
          </w:tcPr>
          <w:p w14:paraId="1C690CA8"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112</w:t>
            </w:r>
          </w:p>
        </w:tc>
        <w:tc>
          <w:tcPr>
            <w:tcW w:w="861" w:type="dxa"/>
            <w:tcBorders>
              <w:top w:val="nil"/>
              <w:left w:val="nil"/>
              <w:bottom w:val="single" w:sz="8" w:space="0" w:color="auto"/>
              <w:right w:val="single" w:sz="8" w:space="0" w:color="auto"/>
            </w:tcBorders>
            <w:vAlign w:val="center"/>
          </w:tcPr>
          <w:p w14:paraId="1C690CA9"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100</w:t>
            </w:r>
          </w:p>
        </w:tc>
      </w:tr>
      <w:tr w:rsidR="00BF75A3" w14:paraId="1C690CB4" w14:textId="77777777">
        <w:trPr>
          <w:trHeight w:val="284"/>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C690CAB" w14:textId="77777777" w:rsidR="00BF75A3" w:rsidRDefault="00652B2B">
            <w:pPr>
              <w:spacing w:after="0" w:line="240" w:lineRule="auto"/>
              <w:rPr>
                <w:rFonts w:eastAsia="Times New Roman" w:cstheme="minorHAnsi"/>
                <w:b/>
                <w:color w:val="000000"/>
                <w:lang w:eastAsia="en-GB"/>
              </w:rPr>
            </w:pPr>
            <w:r>
              <w:rPr>
                <w:rFonts w:eastAsia="Times New Roman" w:cstheme="minorHAnsi"/>
                <w:b/>
                <w:color w:val="000000"/>
                <w:lang w:eastAsia="en-GB"/>
              </w:rPr>
              <w:t>Boys</w:t>
            </w:r>
          </w:p>
        </w:tc>
        <w:tc>
          <w:tcPr>
            <w:tcW w:w="992" w:type="dxa"/>
            <w:tcBorders>
              <w:top w:val="nil"/>
              <w:left w:val="nil"/>
              <w:bottom w:val="single" w:sz="8" w:space="0" w:color="auto"/>
              <w:right w:val="single" w:sz="8" w:space="0" w:color="auto"/>
            </w:tcBorders>
            <w:shd w:val="clear" w:color="auto" w:fill="FFD006"/>
            <w:noWrap/>
            <w:vAlign w:val="center"/>
          </w:tcPr>
          <w:p w14:paraId="1C690CAC" w14:textId="77777777" w:rsidR="00BF75A3" w:rsidRDefault="00652B2B">
            <w:pPr>
              <w:widowControl w:val="0"/>
              <w:autoSpaceDE w:val="0"/>
              <w:autoSpaceDN w:val="0"/>
              <w:adjustRightInd w:val="0"/>
              <w:spacing w:after="0" w:line="240" w:lineRule="auto"/>
              <w:jc w:val="center"/>
              <w:rPr>
                <w:rFonts w:cstheme="minorHAnsi"/>
                <w:b/>
                <w:sz w:val="20"/>
                <w:szCs w:val="20"/>
                <w:highlight w:val="yellow"/>
              </w:rPr>
            </w:pPr>
            <w:r>
              <w:rPr>
                <w:rFonts w:ascii="Arial" w:hAnsi="Arial" w:cs="Arial"/>
                <w:b/>
                <w:bCs/>
                <w:sz w:val="20"/>
                <w:szCs w:val="20"/>
              </w:rPr>
              <w:t xml:space="preserve">588 </w:t>
            </w:r>
            <w:r>
              <w:rPr>
                <w:rFonts w:ascii="Arial" w:hAnsi="Arial" w:cs="Arial"/>
                <w:sz w:val="20"/>
                <w:szCs w:val="20"/>
              </w:rPr>
              <w:t>(51.85%)</w:t>
            </w:r>
          </w:p>
        </w:tc>
        <w:tc>
          <w:tcPr>
            <w:tcW w:w="1134" w:type="dxa"/>
            <w:tcBorders>
              <w:top w:val="nil"/>
              <w:left w:val="nil"/>
              <w:bottom w:val="single" w:sz="8" w:space="0" w:color="auto"/>
              <w:right w:val="single" w:sz="8" w:space="0" w:color="auto"/>
            </w:tcBorders>
            <w:vAlign w:val="center"/>
          </w:tcPr>
          <w:p w14:paraId="1C690CAD"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107</w:t>
            </w:r>
            <w:r>
              <w:rPr>
                <w:rFonts w:ascii="Arial" w:hAnsi="Arial" w:cs="Arial"/>
                <w:sz w:val="20"/>
                <w:szCs w:val="20"/>
              </w:rPr>
              <w:t xml:space="preserve"> (56.32%)</w:t>
            </w:r>
          </w:p>
        </w:tc>
        <w:tc>
          <w:tcPr>
            <w:tcW w:w="1028" w:type="dxa"/>
            <w:tcBorders>
              <w:top w:val="nil"/>
              <w:left w:val="nil"/>
              <w:bottom w:val="single" w:sz="8" w:space="0" w:color="auto"/>
              <w:right w:val="single" w:sz="8" w:space="0" w:color="auto"/>
            </w:tcBorders>
            <w:vAlign w:val="center"/>
          </w:tcPr>
          <w:p w14:paraId="1C690CAE"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104</w:t>
            </w:r>
            <w:r>
              <w:rPr>
                <w:rFonts w:ascii="Arial" w:hAnsi="Arial" w:cs="Arial"/>
                <w:sz w:val="20"/>
                <w:szCs w:val="20"/>
              </w:rPr>
              <w:t xml:space="preserve"> (55.03%)</w:t>
            </w:r>
          </w:p>
        </w:tc>
        <w:tc>
          <w:tcPr>
            <w:tcW w:w="1028" w:type="dxa"/>
            <w:tcBorders>
              <w:top w:val="nil"/>
              <w:left w:val="nil"/>
              <w:bottom w:val="single" w:sz="8" w:space="0" w:color="auto"/>
              <w:right w:val="single" w:sz="8" w:space="0" w:color="auto"/>
            </w:tcBorders>
            <w:vAlign w:val="center"/>
          </w:tcPr>
          <w:p w14:paraId="1C690CAF"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101</w:t>
            </w:r>
            <w:r>
              <w:rPr>
                <w:rFonts w:ascii="Arial" w:hAnsi="Arial" w:cs="Arial"/>
                <w:sz w:val="20"/>
                <w:szCs w:val="20"/>
              </w:rPr>
              <w:t xml:space="preserve"> (53.16%)</w:t>
            </w:r>
          </w:p>
        </w:tc>
        <w:tc>
          <w:tcPr>
            <w:tcW w:w="1028" w:type="dxa"/>
            <w:tcBorders>
              <w:top w:val="nil"/>
              <w:left w:val="nil"/>
              <w:bottom w:val="single" w:sz="8" w:space="0" w:color="auto"/>
              <w:right w:val="single" w:sz="8" w:space="0" w:color="auto"/>
            </w:tcBorders>
            <w:vAlign w:val="center"/>
          </w:tcPr>
          <w:p w14:paraId="1C690CB0"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94</w:t>
            </w:r>
            <w:r>
              <w:rPr>
                <w:rFonts w:ascii="Arial" w:hAnsi="Arial" w:cs="Arial"/>
                <w:sz w:val="20"/>
                <w:szCs w:val="20"/>
              </w:rPr>
              <w:t xml:space="preserve"> (49.74%)</w:t>
            </w:r>
          </w:p>
        </w:tc>
        <w:tc>
          <w:tcPr>
            <w:tcW w:w="1028" w:type="dxa"/>
            <w:tcBorders>
              <w:top w:val="nil"/>
              <w:left w:val="nil"/>
              <w:bottom w:val="single" w:sz="8" w:space="0" w:color="auto"/>
              <w:right w:val="single" w:sz="8" w:space="0" w:color="auto"/>
            </w:tcBorders>
            <w:vAlign w:val="center"/>
          </w:tcPr>
          <w:p w14:paraId="1C690CB1"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78</w:t>
            </w:r>
            <w:r>
              <w:rPr>
                <w:rFonts w:ascii="Arial" w:hAnsi="Arial" w:cs="Arial"/>
                <w:sz w:val="20"/>
                <w:szCs w:val="20"/>
              </w:rPr>
              <w:t xml:space="preserve"> (47.56%)</w:t>
            </w:r>
          </w:p>
        </w:tc>
        <w:tc>
          <w:tcPr>
            <w:tcW w:w="1028" w:type="dxa"/>
            <w:tcBorders>
              <w:top w:val="nil"/>
              <w:left w:val="nil"/>
              <w:bottom w:val="single" w:sz="8" w:space="0" w:color="auto"/>
              <w:right w:val="single" w:sz="8" w:space="0" w:color="auto"/>
            </w:tcBorders>
            <w:vAlign w:val="center"/>
          </w:tcPr>
          <w:p w14:paraId="1C690CB2"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54</w:t>
            </w:r>
            <w:r>
              <w:rPr>
                <w:rFonts w:ascii="Arial" w:hAnsi="Arial" w:cs="Arial"/>
                <w:sz w:val="20"/>
                <w:szCs w:val="20"/>
              </w:rPr>
              <w:t xml:space="preserve"> (48.21%)</w:t>
            </w:r>
          </w:p>
        </w:tc>
        <w:tc>
          <w:tcPr>
            <w:tcW w:w="861" w:type="dxa"/>
            <w:tcBorders>
              <w:top w:val="nil"/>
              <w:left w:val="nil"/>
              <w:bottom w:val="single" w:sz="8" w:space="0" w:color="auto"/>
              <w:right w:val="single" w:sz="8" w:space="0" w:color="auto"/>
            </w:tcBorders>
            <w:vAlign w:val="center"/>
          </w:tcPr>
          <w:p w14:paraId="1C690CB3"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50</w:t>
            </w:r>
            <w:r>
              <w:rPr>
                <w:rFonts w:ascii="Arial" w:hAnsi="Arial" w:cs="Arial"/>
                <w:sz w:val="20"/>
                <w:szCs w:val="20"/>
              </w:rPr>
              <w:t xml:space="preserve"> (50%)</w:t>
            </w:r>
          </w:p>
        </w:tc>
      </w:tr>
      <w:tr w:rsidR="00BF75A3" w14:paraId="1C690CBE" w14:textId="77777777">
        <w:trPr>
          <w:trHeight w:val="284"/>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C690CB5" w14:textId="77777777" w:rsidR="00BF75A3" w:rsidRDefault="00652B2B">
            <w:pPr>
              <w:spacing w:after="0" w:line="240" w:lineRule="auto"/>
              <w:rPr>
                <w:rFonts w:eastAsia="Times New Roman" w:cstheme="minorHAnsi"/>
                <w:b/>
                <w:color w:val="000000"/>
                <w:lang w:eastAsia="en-GB"/>
              </w:rPr>
            </w:pPr>
            <w:r>
              <w:rPr>
                <w:rFonts w:eastAsia="Times New Roman" w:cstheme="minorHAnsi"/>
                <w:b/>
                <w:color w:val="000000"/>
                <w:lang w:eastAsia="en-GB"/>
              </w:rPr>
              <w:t>Girls</w:t>
            </w:r>
          </w:p>
        </w:tc>
        <w:tc>
          <w:tcPr>
            <w:tcW w:w="992" w:type="dxa"/>
            <w:tcBorders>
              <w:top w:val="nil"/>
              <w:left w:val="nil"/>
              <w:bottom w:val="single" w:sz="8" w:space="0" w:color="auto"/>
              <w:right w:val="single" w:sz="8" w:space="0" w:color="auto"/>
            </w:tcBorders>
            <w:shd w:val="clear" w:color="auto" w:fill="FFD006"/>
            <w:noWrap/>
            <w:vAlign w:val="center"/>
          </w:tcPr>
          <w:p w14:paraId="1C690CB6" w14:textId="77777777" w:rsidR="00BF75A3" w:rsidRDefault="00652B2B">
            <w:pPr>
              <w:widowControl w:val="0"/>
              <w:autoSpaceDE w:val="0"/>
              <w:autoSpaceDN w:val="0"/>
              <w:adjustRightInd w:val="0"/>
              <w:spacing w:after="0" w:line="240" w:lineRule="auto"/>
              <w:jc w:val="center"/>
              <w:rPr>
                <w:rFonts w:cstheme="minorHAnsi"/>
                <w:b/>
                <w:sz w:val="20"/>
                <w:szCs w:val="20"/>
                <w:highlight w:val="yellow"/>
              </w:rPr>
            </w:pPr>
            <w:r>
              <w:rPr>
                <w:rFonts w:ascii="Arial" w:hAnsi="Arial" w:cs="Arial"/>
                <w:b/>
                <w:bCs/>
                <w:sz w:val="20"/>
                <w:szCs w:val="20"/>
              </w:rPr>
              <w:t xml:space="preserve">546 </w:t>
            </w:r>
            <w:r>
              <w:rPr>
                <w:rFonts w:ascii="Arial" w:hAnsi="Arial" w:cs="Arial"/>
                <w:sz w:val="20"/>
                <w:szCs w:val="20"/>
              </w:rPr>
              <w:t>(48.15%)</w:t>
            </w:r>
          </w:p>
        </w:tc>
        <w:tc>
          <w:tcPr>
            <w:tcW w:w="1134" w:type="dxa"/>
            <w:tcBorders>
              <w:top w:val="nil"/>
              <w:left w:val="nil"/>
              <w:bottom w:val="single" w:sz="8" w:space="0" w:color="auto"/>
              <w:right w:val="single" w:sz="8" w:space="0" w:color="auto"/>
            </w:tcBorders>
            <w:vAlign w:val="center"/>
          </w:tcPr>
          <w:p w14:paraId="1C690CB7"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83</w:t>
            </w:r>
            <w:r>
              <w:rPr>
                <w:rFonts w:ascii="Arial" w:hAnsi="Arial" w:cs="Arial"/>
                <w:sz w:val="20"/>
                <w:szCs w:val="20"/>
              </w:rPr>
              <w:t xml:space="preserve"> (43.68%)</w:t>
            </w:r>
          </w:p>
        </w:tc>
        <w:tc>
          <w:tcPr>
            <w:tcW w:w="1028" w:type="dxa"/>
            <w:tcBorders>
              <w:top w:val="nil"/>
              <w:left w:val="nil"/>
              <w:bottom w:val="single" w:sz="8" w:space="0" w:color="auto"/>
              <w:right w:val="single" w:sz="8" w:space="0" w:color="auto"/>
            </w:tcBorders>
            <w:vAlign w:val="center"/>
          </w:tcPr>
          <w:p w14:paraId="1C690CB8"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85</w:t>
            </w:r>
            <w:r>
              <w:rPr>
                <w:rFonts w:ascii="Arial" w:hAnsi="Arial" w:cs="Arial"/>
                <w:sz w:val="20"/>
                <w:szCs w:val="20"/>
              </w:rPr>
              <w:t xml:space="preserve"> (44.97%)</w:t>
            </w:r>
          </w:p>
        </w:tc>
        <w:tc>
          <w:tcPr>
            <w:tcW w:w="1028" w:type="dxa"/>
            <w:tcBorders>
              <w:top w:val="nil"/>
              <w:left w:val="nil"/>
              <w:bottom w:val="single" w:sz="8" w:space="0" w:color="auto"/>
              <w:right w:val="single" w:sz="8" w:space="0" w:color="auto"/>
            </w:tcBorders>
            <w:vAlign w:val="center"/>
          </w:tcPr>
          <w:p w14:paraId="1C690CB9"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89</w:t>
            </w:r>
            <w:r>
              <w:rPr>
                <w:rFonts w:ascii="Arial" w:hAnsi="Arial" w:cs="Arial"/>
                <w:sz w:val="20"/>
                <w:szCs w:val="20"/>
              </w:rPr>
              <w:t xml:space="preserve"> (46.84%)</w:t>
            </w:r>
          </w:p>
        </w:tc>
        <w:tc>
          <w:tcPr>
            <w:tcW w:w="1028" w:type="dxa"/>
            <w:tcBorders>
              <w:top w:val="nil"/>
              <w:left w:val="nil"/>
              <w:bottom w:val="single" w:sz="8" w:space="0" w:color="auto"/>
              <w:right w:val="single" w:sz="8" w:space="0" w:color="auto"/>
            </w:tcBorders>
            <w:vAlign w:val="center"/>
          </w:tcPr>
          <w:p w14:paraId="1C690CBA"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95</w:t>
            </w:r>
            <w:r>
              <w:rPr>
                <w:rFonts w:ascii="Arial" w:hAnsi="Arial" w:cs="Arial"/>
                <w:sz w:val="20"/>
                <w:szCs w:val="20"/>
              </w:rPr>
              <w:t xml:space="preserve"> (50.26%)</w:t>
            </w:r>
          </w:p>
        </w:tc>
        <w:tc>
          <w:tcPr>
            <w:tcW w:w="1028" w:type="dxa"/>
            <w:tcBorders>
              <w:top w:val="nil"/>
              <w:left w:val="nil"/>
              <w:bottom w:val="single" w:sz="8" w:space="0" w:color="auto"/>
              <w:right w:val="single" w:sz="8" w:space="0" w:color="auto"/>
            </w:tcBorders>
            <w:vAlign w:val="center"/>
          </w:tcPr>
          <w:p w14:paraId="1C690CBB"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86</w:t>
            </w:r>
            <w:r>
              <w:rPr>
                <w:rFonts w:ascii="Arial" w:hAnsi="Arial" w:cs="Arial"/>
                <w:sz w:val="20"/>
                <w:szCs w:val="20"/>
              </w:rPr>
              <w:t xml:space="preserve"> (52.44%)</w:t>
            </w:r>
          </w:p>
        </w:tc>
        <w:tc>
          <w:tcPr>
            <w:tcW w:w="1028" w:type="dxa"/>
            <w:tcBorders>
              <w:top w:val="nil"/>
              <w:left w:val="nil"/>
              <w:bottom w:val="single" w:sz="8" w:space="0" w:color="auto"/>
              <w:right w:val="single" w:sz="8" w:space="0" w:color="auto"/>
            </w:tcBorders>
            <w:vAlign w:val="center"/>
          </w:tcPr>
          <w:p w14:paraId="1C690CBC"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58</w:t>
            </w:r>
            <w:r>
              <w:rPr>
                <w:rFonts w:ascii="Arial" w:hAnsi="Arial" w:cs="Arial"/>
                <w:sz w:val="20"/>
                <w:szCs w:val="20"/>
              </w:rPr>
              <w:t xml:space="preserve"> (51.79%)</w:t>
            </w:r>
          </w:p>
        </w:tc>
        <w:tc>
          <w:tcPr>
            <w:tcW w:w="861" w:type="dxa"/>
            <w:tcBorders>
              <w:top w:val="nil"/>
              <w:left w:val="nil"/>
              <w:bottom w:val="single" w:sz="8" w:space="0" w:color="auto"/>
              <w:right w:val="single" w:sz="8" w:space="0" w:color="auto"/>
            </w:tcBorders>
            <w:vAlign w:val="center"/>
          </w:tcPr>
          <w:p w14:paraId="1C690CBD"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50</w:t>
            </w:r>
            <w:r>
              <w:rPr>
                <w:rFonts w:ascii="Arial" w:hAnsi="Arial" w:cs="Arial"/>
                <w:sz w:val="20"/>
                <w:szCs w:val="20"/>
              </w:rPr>
              <w:t xml:space="preserve"> (50%)</w:t>
            </w:r>
          </w:p>
        </w:tc>
      </w:tr>
      <w:tr w:rsidR="00BF75A3" w14:paraId="1C690CC8" w14:textId="77777777">
        <w:trPr>
          <w:trHeight w:val="284"/>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1C690CBF" w14:textId="77777777" w:rsidR="00BF75A3" w:rsidRDefault="00652B2B">
            <w:pPr>
              <w:spacing w:after="0" w:line="240" w:lineRule="auto"/>
              <w:rPr>
                <w:rFonts w:eastAsia="Times New Roman" w:cstheme="minorHAnsi"/>
                <w:b/>
                <w:color w:val="000000"/>
                <w:lang w:eastAsia="en-GB"/>
              </w:rPr>
            </w:pPr>
            <w:r>
              <w:rPr>
                <w:rFonts w:eastAsia="Times New Roman" w:cstheme="minorHAnsi"/>
                <w:b/>
                <w:color w:val="000000"/>
                <w:lang w:eastAsia="en-GB"/>
              </w:rPr>
              <w:t>Armed Forces</w:t>
            </w:r>
          </w:p>
        </w:tc>
        <w:tc>
          <w:tcPr>
            <w:tcW w:w="992" w:type="dxa"/>
            <w:tcBorders>
              <w:top w:val="nil"/>
              <w:left w:val="nil"/>
              <w:bottom w:val="single" w:sz="8" w:space="0" w:color="auto"/>
              <w:right w:val="single" w:sz="8" w:space="0" w:color="auto"/>
            </w:tcBorders>
            <w:shd w:val="clear" w:color="auto" w:fill="FFD006"/>
            <w:noWrap/>
            <w:vAlign w:val="center"/>
          </w:tcPr>
          <w:p w14:paraId="1C690CC0" w14:textId="77777777" w:rsidR="00BF75A3" w:rsidRDefault="00652B2B">
            <w:pPr>
              <w:widowControl w:val="0"/>
              <w:autoSpaceDE w:val="0"/>
              <w:autoSpaceDN w:val="0"/>
              <w:adjustRightInd w:val="0"/>
              <w:spacing w:after="0" w:line="240" w:lineRule="auto"/>
              <w:jc w:val="center"/>
              <w:rPr>
                <w:rFonts w:cstheme="minorHAnsi"/>
                <w:b/>
                <w:sz w:val="20"/>
                <w:szCs w:val="20"/>
                <w:highlight w:val="yellow"/>
              </w:rPr>
            </w:pPr>
            <w:r>
              <w:rPr>
                <w:rFonts w:ascii="Arial" w:hAnsi="Arial" w:cs="Arial"/>
                <w:b/>
                <w:bCs/>
                <w:sz w:val="20"/>
                <w:szCs w:val="20"/>
              </w:rPr>
              <w:t>2</w:t>
            </w:r>
            <w:r>
              <w:rPr>
                <w:rFonts w:ascii="Arial" w:hAnsi="Arial" w:cs="Arial"/>
                <w:sz w:val="20"/>
                <w:szCs w:val="20"/>
              </w:rPr>
              <w:t xml:space="preserve"> (0.18%)</w:t>
            </w:r>
          </w:p>
        </w:tc>
        <w:tc>
          <w:tcPr>
            <w:tcW w:w="1134" w:type="dxa"/>
            <w:tcBorders>
              <w:top w:val="nil"/>
              <w:left w:val="nil"/>
              <w:bottom w:val="single" w:sz="8" w:space="0" w:color="auto"/>
              <w:right w:val="single" w:sz="8" w:space="0" w:color="auto"/>
            </w:tcBorders>
            <w:vAlign w:val="center"/>
          </w:tcPr>
          <w:p w14:paraId="1C690CC1"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0</w:t>
            </w:r>
          </w:p>
        </w:tc>
        <w:tc>
          <w:tcPr>
            <w:tcW w:w="1028" w:type="dxa"/>
            <w:tcBorders>
              <w:top w:val="nil"/>
              <w:left w:val="nil"/>
              <w:bottom w:val="single" w:sz="8" w:space="0" w:color="auto"/>
              <w:right w:val="single" w:sz="8" w:space="0" w:color="auto"/>
            </w:tcBorders>
            <w:vAlign w:val="center"/>
          </w:tcPr>
          <w:p w14:paraId="1C690CC2"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 xml:space="preserve">1 </w:t>
            </w:r>
            <w:r>
              <w:rPr>
                <w:rFonts w:ascii="Arial" w:hAnsi="Arial" w:cs="Arial"/>
                <w:sz w:val="20"/>
                <w:szCs w:val="20"/>
              </w:rPr>
              <w:t>(0.53%)</w:t>
            </w:r>
          </w:p>
        </w:tc>
        <w:tc>
          <w:tcPr>
            <w:tcW w:w="1028" w:type="dxa"/>
            <w:tcBorders>
              <w:top w:val="nil"/>
              <w:left w:val="nil"/>
              <w:bottom w:val="single" w:sz="8" w:space="0" w:color="auto"/>
              <w:right w:val="single" w:sz="8" w:space="0" w:color="auto"/>
            </w:tcBorders>
            <w:vAlign w:val="center"/>
          </w:tcPr>
          <w:p w14:paraId="1C690CC3"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 xml:space="preserve">1 </w:t>
            </w:r>
            <w:r>
              <w:rPr>
                <w:rFonts w:ascii="Arial" w:hAnsi="Arial" w:cs="Arial"/>
                <w:sz w:val="20"/>
                <w:szCs w:val="20"/>
              </w:rPr>
              <w:t>(0.53%)</w:t>
            </w:r>
          </w:p>
        </w:tc>
        <w:tc>
          <w:tcPr>
            <w:tcW w:w="1028" w:type="dxa"/>
            <w:tcBorders>
              <w:top w:val="nil"/>
              <w:left w:val="nil"/>
              <w:bottom w:val="single" w:sz="8" w:space="0" w:color="auto"/>
              <w:right w:val="single" w:sz="8" w:space="0" w:color="auto"/>
            </w:tcBorders>
            <w:vAlign w:val="center"/>
          </w:tcPr>
          <w:p w14:paraId="1C690CC4"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0</w:t>
            </w:r>
          </w:p>
        </w:tc>
        <w:tc>
          <w:tcPr>
            <w:tcW w:w="1028" w:type="dxa"/>
            <w:tcBorders>
              <w:top w:val="nil"/>
              <w:left w:val="nil"/>
              <w:bottom w:val="single" w:sz="8" w:space="0" w:color="auto"/>
              <w:right w:val="single" w:sz="8" w:space="0" w:color="auto"/>
            </w:tcBorders>
            <w:vAlign w:val="center"/>
          </w:tcPr>
          <w:p w14:paraId="1C690CC5"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0</w:t>
            </w:r>
          </w:p>
        </w:tc>
        <w:tc>
          <w:tcPr>
            <w:tcW w:w="1028" w:type="dxa"/>
            <w:tcBorders>
              <w:top w:val="nil"/>
              <w:left w:val="nil"/>
              <w:bottom w:val="single" w:sz="8" w:space="0" w:color="auto"/>
              <w:right w:val="single" w:sz="8" w:space="0" w:color="auto"/>
            </w:tcBorders>
            <w:vAlign w:val="center"/>
          </w:tcPr>
          <w:p w14:paraId="1C690CC6"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0</w:t>
            </w:r>
          </w:p>
        </w:tc>
        <w:tc>
          <w:tcPr>
            <w:tcW w:w="861" w:type="dxa"/>
            <w:tcBorders>
              <w:top w:val="nil"/>
              <w:left w:val="nil"/>
              <w:bottom w:val="single" w:sz="8" w:space="0" w:color="auto"/>
              <w:right w:val="single" w:sz="8" w:space="0" w:color="auto"/>
            </w:tcBorders>
            <w:vAlign w:val="center"/>
          </w:tcPr>
          <w:p w14:paraId="1C690CC7"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0</w:t>
            </w:r>
          </w:p>
        </w:tc>
      </w:tr>
      <w:tr w:rsidR="00BF75A3" w14:paraId="1C690CD2" w14:textId="77777777">
        <w:trPr>
          <w:trHeight w:val="284"/>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1C690CC9" w14:textId="77777777" w:rsidR="00BF75A3" w:rsidRDefault="00652B2B">
            <w:pPr>
              <w:spacing w:after="0" w:line="240" w:lineRule="auto"/>
              <w:rPr>
                <w:rFonts w:eastAsia="Times New Roman" w:cstheme="minorHAnsi"/>
                <w:b/>
                <w:color w:val="000000"/>
                <w:lang w:eastAsia="en-GB"/>
              </w:rPr>
            </w:pPr>
            <w:r>
              <w:rPr>
                <w:rFonts w:eastAsia="Times New Roman" w:cstheme="minorHAnsi"/>
                <w:b/>
                <w:color w:val="000000"/>
                <w:lang w:eastAsia="en-GB"/>
              </w:rPr>
              <w:t>LAC</w:t>
            </w:r>
          </w:p>
        </w:tc>
        <w:tc>
          <w:tcPr>
            <w:tcW w:w="992" w:type="dxa"/>
            <w:tcBorders>
              <w:top w:val="nil"/>
              <w:left w:val="nil"/>
              <w:bottom w:val="single" w:sz="8" w:space="0" w:color="auto"/>
              <w:right w:val="single" w:sz="8" w:space="0" w:color="auto"/>
            </w:tcBorders>
            <w:shd w:val="clear" w:color="auto" w:fill="FFD006"/>
            <w:noWrap/>
            <w:vAlign w:val="center"/>
          </w:tcPr>
          <w:p w14:paraId="1C690CCA" w14:textId="77777777" w:rsidR="00BF75A3" w:rsidRDefault="00652B2B">
            <w:pPr>
              <w:widowControl w:val="0"/>
              <w:autoSpaceDE w:val="0"/>
              <w:autoSpaceDN w:val="0"/>
              <w:adjustRightInd w:val="0"/>
              <w:spacing w:after="0" w:line="240" w:lineRule="auto"/>
              <w:jc w:val="center"/>
              <w:rPr>
                <w:rFonts w:cstheme="minorHAnsi"/>
                <w:b/>
                <w:sz w:val="20"/>
                <w:szCs w:val="20"/>
                <w:highlight w:val="yellow"/>
              </w:rPr>
            </w:pPr>
            <w:r>
              <w:rPr>
                <w:rFonts w:ascii="Arial" w:hAnsi="Arial" w:cs="Arial"/>
                <w:b/>
                <w:bCs/>
                <w:sz w:val="20"/>
                <w:szCs w:val="20"/>
              </w:rPr>
              <w:t>6</w:t>
            </w:r>
            <w:r>
              <w:rPr>
                <w:rFonts w:ascii="Arial" w:hAnsi="Arial" w:cs="Arial"/>
                <w:sz w:val="20"/>
                <w:szCs w:val="20"/>
              </w:rPr>
              <w:t xml:space="preserve"> (0.53%)</w:t>
            </w:r>
          </w:p>
        </w:tc>
        <w:tc>
          <w:tcPr>
            <w:tcW w:w="1134" w:type="dxa"/>
            <w:tcBorders>
              <w:top w:val="nil"/>
              <w:left w:val="nil"/>
              <w:bottom w:val="single" w:sz="8" w:space="0" w:color="auto"/>
              <w:right w:val="single" w:sz="8" w:space="0" w:color="auto"/>
            </w:tcBorders>
            <w:vAlign w:val="center"/>
          </w:tcPr>
          <w:p w14:paraId="1C690CCB"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0</w:t>
            </w:r>
          </w:p>
        </w:tc>
        <w:tc>
          <w:tcPr>
            <w:tcW w:w="1028" w:type="dxa"/>
            <w:tcBorders>
              <w:top w:val="nil"/>
              <w:left w:val="nil"/>
              <w:bottom w:val="single" w:sz="8" w:space="0" w:color="auto"/>
              <w:right w:val="single" w:sz="8" w:space="0" w:color="auto"/>
            </w:tcBorders>
            <w:vAlign w:val="center"/>
          </w:tcPr>
          <w:p w14:paraId="1C690CCC"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 xml:space="preserve">2 </w:t>
            </w:r>
            <w:r>
              <w:rPr>
                <w:rFonts w:ascii="Arial" w:hAnsi="Arial" w:cs="Arial"/>
                <w:sz w:val="20"/>
                <w:szCs w:val="20"/>
              </w:rPr>
              <w:t>(1.06%)</w:t>
            </w:r>
          </w:p>
        </w:tc>
        <w:tc>
          <w:tcPr>
            <w:tcW w:w="1028" w:type="dxa"/>
            <w:tcBorders>
              <w:top w:val="nil"/>
              <w:left w:val="nil"/>
              <w:bottom w:val="single" w:sz="8" w:space="0" w:color="auto"/>
              <w:right w:val="single" w:sz="8" w:space="0" w:color="auto"/>
            </w:tcBorders>
            <w:vAlign w:val="center"/>
          </w:tcPr>
          <w:p w14:paraId="1C690CCD"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 xml:space="preserve">2 </w:t>
            </w:r>
            <w:r>
              <w:rPr>
                <w:rFonts w:ascii="Arial" w:hAnsi="Arial" w:cs="Arial"/>
                <w:sz w:val="20"/>
                <w:szCs w:val="20"/>
              </w:rPr>
              <w:t>(1.05%)</w:t>
            </w:r>
          </w:p>
        </w:tc>
        <w:tc>
          <w:tcPr>
            <w:tcW w:w="1028" w:type="dxa"/>
            <w:tcBorders>
              <w:top w:val="nil"/>
              <w:left w:val="nil"/>
              <w:bottom w:val="single" w:sz="8" w:space="0" w:color="auto"/>
              <w:right w:val="single" w:sz="8" w:space="0" w:color="auto"/>
            </w:tcBorders>
            <w:vAlign w:val="center"/>
          </w:tcPr>
          <w:p w14:paraId="1C690CCE"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 xml:space="preserve">1 </w:t>
            </w:r>
            <w:r>
              <w:rPr>
                <w:rFonts w:ascii="Arial" w:hAnsi="Arial" w:cs="Arial"/>
                <w:sz w:val="20"/>
                <w:szCs w:val="20"/>
              </w:rPr>
              <w:t>(0.53%)</w:t>
            </w:r>
          </w:p>
        </w:tc>
        <w:tc>
          <w:tcPr>
            <w:tcW w:w="1028" w:type="dxa"/>
            <w:tcBorders>
              <w:top w:val="nil"/>
              <w:left w:val="nil"/>
              <w:bottom w:val="single" w:sz="8" w:space="0" w:color="auto"/>
              <w:right w:val="single" w:sz="8" w:space="0" w:color="auto"/>
            </w:tcBorders>
            <w:vAlign w:val="center"/>
          </w:tcPr>
          <w:p w14:paraId="1C690CCF"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 xml:space="preserve">1 </w:t>
            </w:r>
            <w:r>
              <w:rPr>
                <w:rFonts w:ascii="Arial" w:hAnsi="Arial" w:cs="Arial"/>
                <w:sz w:val="20"/>
                <w:szCs w:val="20"/>
              </w:rPr>
              <w:t>(0.61%)</w:t>
            </w:r>
          </w:p>
        </w:tc>
        <w:tc>
          <w:tcPr>
            <w:tcW w:w="1028" w:type="dxa"/>
            <w:tcBorders>
              <w:top w:val="nil"/>
              <w:left w:val="nil"/>
              <w:bottom w:val="single" w:sz="8" w:space="0" w:color="auto"/>
              <w:right w:val="single" w:sz="8" w:space="0" w:color="auto"/>
            </w:tcBorders>
            <w:vAlign w:val="center"/>
          </w:tcPr>
          <w:p w14:paraId="1C690CD0"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0</w:t>
            </w:r>
          </w:p>
        </w:tc>
        <w:tc>
          <w:tcPr>
            <w:tcW w:w="861" w:type="dxa"/>
            <w:tcBorders>
              <w:top w:val="nil"/>
              <w:left w:val="nil"/>
              <w:bottom w:val="single" w:sz="8" w:space="0" w:color="auto"/>
              <w:right w:val="single" w:sz="8" w:space="0" w:color="auto"/>
            </w:tcBorders>
            <w:vAlign w:val="center"/>
          </w:tcPr>
          <w:p w14:paraId="1C690CD1"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0</w:t>
            </w:r>
          </w:p>
        </w:tc>
      </w:tr>
      <w:tr w:rsidR="00BF75A3" w14:paraId="1C690CDC" w14:textId="77777777">
        <w:trPr>
          <w:trHeight w:val="284"/>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C690CD3" w14:textId="77777777" w:rsidR="00BF75A3" w:rsidRDefault="00652B2B">
            <w:pPr>
              <w:spacing w:after="0" w:line="240" w:lineRule="auto"/>
              <w:rPr>
                <w:rFonts w:eastAsia="Times New Roman" w:cstheme="minorHAnsi"/>
                <w:b/>
                <w:color w:val="000000"/>
                <w:lang w:eastAsia="en-GB"/>
              </w:rPr>
            </w:pPr>
            <w:r>
              <w:rPr>
                <w:rFonts w:eastAsia="Times New Roman" w:cstheme="minorHAnsi"/>
                <w:b/>
                <w:color w:val="000000"/>
                <w:lang w:eastAsia="en-GB"/>
              </w:rPr>
              <w:t>Pupil premium</w:t>
            </w:r>
          </w:p>
        </w:tc>
        <w:tc>
          <w:tcPr>
            <w:tcW w:w="992" w:type="dxa"/>
            <w:tcBorders>
              <w:top w:val="nil"/>
              <w:left w:val="nil"/>
              <w:bottom w:val="single" w:sz="8" w:space="0" w:color="auto"/>
              <w:right w:val="single" w:sz="8" w:space="0" w:color="auto"/>
            </w:tcBorders>
            <w:shd w:val="clear" w:color="auto" w:fill="FFD006"/>
            <w:noWrap/>
            <w:vAlign w:val="center"/>
          </w:tcPr>
          <w:p w14:paraId="1C690CD4" w14:textId="77777777" w:rsidR="00BF75A3" w:rsidRDefault="00652B2B">
            <w:pPr>
              <w:widowControl w:val="0"/>
              <w:autoSpaceDE w:val="0"/>
              <w:autoSpaceDN w:val="0"/>
              <w:adjustRightInd w:val="0"/>
              <w:spacing w:after="0" w:line="240" w:lineRule="auto"/>
              <w:jc w:val="center"/>
              <w:rPr>
                <w:rFonts w:cstheme="minorHAnsi"/>
                <w:b/>
                <w:sz w:val="20"/>
                <w:szCs w:val="20"/>
                <w:highlight w:val="yellow"/>
              </w:rPr>
            </w:pPr>
            <w:r>
              <w:rPr>
                <w:rFonts w:ascii="Arial" w:hAnsi="Arial" w:cs="Arial"/>
                <w:b/>
                <w:bCs/>
                <w:sz w:val="20"/>
                <w:szCs w:val="20"/>
              </w:rPr>
              <w:t>146</w:t>
            </w:r>
            <w:r>
              <w:rPr>
                <w:rFonts w:ascii="Arial" w:hAnsi="Arial" w:cs="Arial"/>
                <w:sz w:val="20"/>
                <w:szCs w:val="20"/>
              </w:rPr>
              <w:t xml:space="preserve"> (12.87%)</w:t>
            </w:r>
          </w:p>
        </w:tc>
        <w:tc>
          <w:tcPr>
            <w:tcW w:w="1134" w:type="dxa"/>
            <w:tcBorders>
              <w:top w:val="nil"/>
              <w:left w:val="nil"/>
              <w:bottom w:val="single" w:sz="8" w:space="0" w:color="auto"/>
              <w:right w:val="single" w:sz="8" w:space="0" w:color="auto"/>
            </w:tcBorders>
            <w:vAlign w:val="center"/>
          </w:tcPr>
          <w:p w14:paraId="1C690CD5"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35</w:t>
            </w:r>
            <w:r>
              <w:rPr>
                <w:rFonts w:ascii="Arial" w:hAnsi="Arial" w:cs="Arial"/>
                <w:sz w:val="20"/>
                <w:szCs w:val="20"/>
              </w:rPr>
              <w:t xml:space="preserve"> (18.42%)</w:t>
            </w:r>
          </w:p>
        </w:tc>
        <w:tc>
          <w:tcPr>
            <w:tcW w:w="1028" w:type="dxa"/>
            <w:tcBorders>
              <w:top w:val="nil"/>
              <w:left w:val="nil"/>
              <w:bottom w:val="single" w:sz="8" w:space="0" w:color="auto"/>
              <w:right w:val="single" w:sz="8" w:space="0" w:color="auto"/>
            </w:tcBorders>
            <w:vAlign w:val="center"/>
          </w:tcPr>
          <w:p w14:paraId="1C690CD6"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38</w:t>
            </w:r>
            <w:r>
              <w:rPr>
                <w:rFonts w:ascii="Arial" w:hAnsi="Arial" w:cs="Arial"/>
                <w:sz w:val="20"/>
                <w:szCs w:val="20"/>
              </w:rPr>
              <w:t xml:space="preserve"> (20.11%)</w:t>
            </w:r>
          </w:p>
        </w:tc>
        <w:tc>
          <w:tcPr>
            <w:tcW w:w="1028" w:type="dxa"/>
            <w:tcBorders>
              <w:top w:val="nil"/>
              <w:left w:val="nil"/>
              <w:bottom w:val="single" w:sz="8" w:space="0" w:color="auto"/>
              <w:right w:val="single" w:sz="8" w:space="0" w:color="auto"/>
            </w:tcBorders>
            <w:vAlign w:val="center"/>
          </w:tcPr>
          <w:p w14:paraId="1C690CD7"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25</w:t>
            </w:r>
            <w:r>
              <w:rPr>
                <w:rFonts w:ascii="Arial" w:hAnsi="Arial" w:cs="Arial"/>
                <w:sz w:val="20"/>
                <w:szCs w:val="20"/>
              </w:rPr>
              <w:t xml:space="preserve"> (13.16%)</w:t>
            </w:r>
          </w:p>
        </w:tc>
        <w:tc>
          <w:tcPr>
            <w:tcW w:w="1028" w:type="dxa"/>
            <w:tcBorders>
              <w:top w:val="nil"/>
              <w:left w:val="nil"/>
              <w:bottom w:val="single" w:sz="8" w:space="0" w:color="auto"/>
              <w:right w:val="single" w:sz="8" w:space="0" w:color="auto"/>
            </w:tcBorders>
            <w:vAlign w:val="center"/>
          </w:tcPr>
          <w:p w14:paraId="1C690CD8"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20</w:t>
            </w:r>
            <w:r>
              <w:rPr>
                <w:rFonts w:ascii="Arial" w:hAnsi="Arial" w:cs="Arial"/>
                <w:sz w:val="20"/>
                <w:szCs w:val="20"/>
              </w:rPr>
              <w:t xml:space="preserve"> (10.58%)</w:t>
            </w:r>
          </w:p>
        </w:tc>
        <w:tc>
          <w:tcPr>
            <w:tcW w:w="1028" w:type="dxa"/>
            <w:tcBorders>
              <w:top w:val="nil"/>
              <w:left w:val="nil"/>
              <w:bottom w:val="single" w:sz="8" w:space="0" w:color="auto"/>
              <w:right w:val="single" w:sz="8" w:space="0" w:color="auto"/>
            </w:tcBorders>
            <w:vAlign w:val="center"/>
          </w:tcPr>
          <w:p w14:paraId="1C690CD9"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19</w:t>
            </w:r>
            <w:r>
              <w:rPr>
                <w:rFonts w:ascii="Arial" w:hAnsi="Arial" w:cs="Arial"/>
                <w:sz w:val="20"/>
                <w:szCs w:val="20"/>
              </w:rPr>
              <w:t xml:space="preserve"> (11.59%)</w:t>
            </w:r>
          </w:p>
        </w:tc>
        <w:tc>
          <w:tcPr>
            <w:tcW w:w="1028" w:type="dxa"/>
            <w:tcBorders>
              <w:top w:val="nil"/>
              <w:left w:val="nil"/>
              <w:bottom w:val="single" w:sz="8" w:space="0" w:color="auto"/>
              <w:right w:val="single" w:sz="8" w:space="0" w:color="auto"/>
            </w:tcBorders>
            <w:vAlign w:val="center"/>
          </w:tcPr>
          <w:p w14:paraId="1C690CDA"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9</w:t>
            </w:r>
            <w:r>
              <w:rPr>
                <w:rFonts w:ascii="Arial" w:hAnsi="Arial" w:cs="Arial"/>
                <w:sz w:val="20"/>
                <w:szCs w:val="20"/>
              </w:rPr>
              <w:t xml:space="preserve"> (8.04%)</w:t>
            </w:r>
          </w:p>
        </w:tc>
        <w:tc>
          <w:tcPr>
            <w:tcW w:w="861" w:type="dxa"/>
            <w:tcBorders>
              <w:top w:val="nil"/>
              <w:left w:val="nil"/>
              <w:bottom w:val="single" w:sz="8" w:space="0" w:color="auto"/>
              <w:right w:val="single" w:sz="8" w:space="0" w:color="auto"/>
            </w:tcBorders>
            <w:vAlign w:val="center"/>
          </w:tcPr>
          <w:p w14:paraId="1C690CDB"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0</w:t>
            </w:r>
          </w:p>
        </w:tc>
      </w:tr>
      <w:tr w:rsidR="00BF75A3" w14:paraId="1C690CE6" w14:textId="77777777">
        <w:trPr>
          <w:trHeight w:val="284"/>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C690CDD" w14:textId="77777777" w:rsidR="00BF75A3" w:rsidRDefault="00652B2B">
            <w:pPr>
              <w:spacing w:after="0" w:line="240" w:lineRule="auto"/>
              <w:rPr>
                <w:rFonts w:eastAsia="Times New Roman" w:cstheme="minorHAnsi"/>
                <w:b/>
                <w:color w:val="000000"/>
                <w:lang w:eastAsia="en-GB"/>
              </w:rPr>
            </w:pPr>
            <w:r>
              <w:rPr>
                <w:rFonts w:eastAsia="Times New Roman" w:cstheme="minorHAnsi"/>
                <w:b/>
                <w:color w:val="000000"/>
                <w:lang w:eastAsia="en-GB"/>
              </w:rPr>
              <w:t>Not pupil premium</w:t>
            </w:r>
          </w:p>
        </w:tc>
        <w:tc>
          <w:tcPr>
            <w:tcW w:w="992" w:type="dxa"/>
            <w:tcBorders>
              <w:top w:val="nil"/>
              <w:left w:val="nil"/>
              <w:bottom w:val="single" w:sz="8" w:space="0" w:color="auto"/>
              <w:right w:val="single" w:sz="8" w:space="0" w:color="auto"/>
            </w:tcBorders>
            <w:shd w:val="clear" w:color="auto" w:fill="FFD006"/>
            <w:noWrap/>
            <w:vAlign w:val="center"/>
          </w:tcPr>
          <w:p w14:paraId="1C690CDE" w14:textId="77777777" w:rsidR="00BF75A3" w:rsidRDefault="00652B2B">
            <w:pPr>
              <w:widowControl w:val="0"/>
              <w:autoSpaceDE w:val="0"/>
              <w:autoSpaceDN w:val="0"/>
              <w:adjustRightInd w:val="0"/>
              <w:spacing w:after="0" w:line="240" w:lineRule="auto"/>
              <w:jc w:val="center"/>
              <w:rPr>
                <w:rFonts w:cstheme="minorHAnsi"/>
                <w:b/>
                <w:sz w:val="20"/>
                <w:szCs w:val="20"/>
                <w:highlight w:val="yellow"/>
              </w:rPr>
            </w:pPr>
            <w:r>
              <w:rPr>
                <w:rFonts w:ascii="Arial" w:hAnsi="Arial" w:cs="Arial"/>
                <w:b/>
                <w:bCs/>
                <w:sz w:val="20"/>
                <w:szCs w:val="20"/>
              </w:rPr>
              <w:t xml:space="preserve">988 </w:t>
            </w:r>
            <w:r>
              <w:rPr>
                <w:rFonts w:ascii="Arial" w:hAnsi="Arial" w:cs="Arial"/>
                <w:sz w:val="20"/>
                <w:szCs w:val="20"/>
              </w:rPr>
              <w:t>(87.13%)</w:t>
            </w:r>
          </w:p>
        </w:tc>
        <w:tc>
          <w:tcPr>
            <w:tcW w:w="1134" w:type="dxa"/>
            <w:tcBorders>
              <w:top w:val="nil"/>
              <w:left w:val="nil"/>
              <w:bottom w:val="single" w:sz="8" w:space="0" w:color="auto"/>
              <w:right w:val="single" w:sz="8" w:space="0" w:color="auto"/>
            </w:tcBorders>
            <w:vAlign w:val="center"/>
          </w:tcPr>
          <w:p w14:paraId="1C690CDF"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155</w:t>
            </w:r>
            <w:r>
              <w:rPr>
                <w:rFonts w:ascii="Arial" w:hAnsi="Arial" w:cs="Arial"/>
                <w:sz w:val="20"/>
                <w:szCs w:val="20"/>
              </w:rPr>
              <w:t xml:space="preserve"> (81.58%)</w:t>
            </w:r>
          </w:p>
        </w:tc>
        <w:tc>
          <w:tcPr>
            <w:tcW w:w="1028" w:type="dxa"/>
            <w:tcBorders>
              <w:top w:val="nil"/>
              <w:left w:val="nil"/>
              <w:bottom w:val="single" w:sz="8" w:space="0" w:color="auto"/>
              <w:right w:val="single" w:sz="8" w:space="0" w:color="auto"/>
            </w:tcBorders>
            <w:vAlign w:val="center"/>
          </w:tcPr>
          <w:p w14:paraId="1C690CE0"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151</w:t>
            </w:r>
            <w:r>
              <w:rPr>
                <w:rFonts w:ascii="Arial" w:hAnsi="Arial" w:cs="Arial"/>
                <w:sz w:val="20"/>
                <w:szCs w:val="20"/>
              </w:rPr>
              <w:t xml:space="preserve"> (79.89%)</w:t>
            </w:r>
          </w:p>
        </w:tc>
        <w:tc>
          <w:tcPr>
            <w:tcW w:w="1028" w:type="dxa"/>
            <w:tcBorders>
              <w:top w:val="nil"/>
              <w:left w:val="nil"/>
              <w:bottom w:val="single" w:sz="8" w:space="0" w:color="auto"/>
              <w:right w:val="single" w:sz="8" w:space="0" w:color="auto"/>
            </w:tcBorders>
            <w:vAlign w:val="center"/>
          </w:tcPr>
          <w:p w14:paraId="1C690CE1"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165</w:t>
            </w:r>
            <w:r>
              <w:rPr>
                <w:rFonts w:ascii="Arial" w:hAnsi="Arial" w:cs="Arial"/>
                <w:sz w:val="20"/>
                <w:szCs w:val="20"/>
              </w:rPr>
              <w:t xml:space="preserve"> (86.84%)</w:t>
            </w:r>
          </w:p>
        </w:tc>
        <w:tc>
          <w:tcPr>
            <w:tcW w:w="1028" w:type="dxa"/>
            <w:tcBorders>
              <w:top w:val="nil"/>
              <w:left w:val="nil"/>
              <w:bottom w:val="single" w:sz="8" w:space="0" w:color="auto"/>
              <w:right w:val="single" w:sz="8" w:space="0" w:color="auto"/>
            </w:tcBorders>
            <w:vAlign w:val="center"/>
          </w:tcPr>
          <w:p w14:paraId="1C690CE2"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169</w:t>
            </w:r>
            <w:r>
              <w:rPr>
                <w:rFonts w:ascii="Arial" w:hAnsi="Arial" w:cs="Arial"/>
                <w:sz w:val="20"/>
                <w:szCs w:val="20"/>
              </w:rPr>
              <w:t xml:space="preserve"> (89.42%)</w:t>
            </w:r>
          </w:p>
        </w:tc>
        <w:tc>
          <w:tcPr>
            <w:tcW w:w="1028" w:type="dxa"/>
            <w:tcBorders>
              <w:top w:val="nil"/>
              <w:left w:val="nil"/>
              <w:bottom w:val="single" w:sz="8" w:space="0" w:color="auto"/>
              <w:right w:val="single" w:sz="8" w:space="0" w:color="auto"/>
            </w:tcBorders>
            <w:vAlign w:val="center"/>
          </w:tcPr>
          <w:p w14:paraId="1C690CE3"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145</w:t>
            </w:r>
            <w:r>
              <w:rPr>
                <w:rFonts w:ascii="Arial" w:hAnsi="Arial" w:cs="Arial"/>
                <w:sz w:val="20"/>
                <w:szCs w:val="20"/>
              </w:rPr>
              <w:t xml:space="preserve"> (88.41%)</w:t>
            </w:r>
          </w:p>
        </w:tc>
        <w:tc>
          <w:tcPr>
            <w:tcW w:w="1028" w:type="dxa"/>
            <w:tcBorders>
              <w:top w:val="nil"/>
              <w:left w:val="nil"/>
              <w:bottom w:val="single" w:sz="8" w:space="0" w:color="auto"/>
              <w:right w:val="single" w:sz="8" w:space="0" w:color="auto"/>
            </w:tcBorders>
            <w:vAlign w:val="center"/>
          </w:tcPr>
          <w:p w14:paraId="1C690CE4"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103</w:t>
            </w:r>
            <w:r>
              <w:rPr>
                <w:rFonts w:ascii="Arial" w:hAnsi="Arial" w:cs="Arial"/>
                <w:sz w:val="20"/>
                <w:szCs w:val="20"/>
              </w:rPr>
              <w:t xml:space="preserve"> (91.96%)</w:t>
            </w:r>
          </w:p>
        </w:tc>
        <w:tc>
          <w:tcPr>
            <w:tcW w:w="861" w:type="dxa"/>
            <w:tcBorders>
              <w:top w:val="nil"/>
              <w:left w:val="nil"/>
              <w:bottom w:val="single" w:sz="8" w:space="0" w:color="auto"/>
              <w:right w:val="single" w:sz="8" w:space="0" w:color="auto"/>
            </w:tcBorders>
            <w:vAlign w:val="center"/>
          </w:tcPr>
          <w:p w14:paraId="1C690CE5" w14:textId="77777777" w:rsidR="00BF75A3" w:rsidRDefault="00652B2B">
            <w:pPr>
              <w:widowControl w:val="0"/>
              <w:autoSpaceDE w:val="0"/>
              <w:autoSpaceDN w:val="0"/>
              <w:adjustRightInd w:val="0"/>
              <w:spacing w:after="0" w:line="240" w:lineRule="auto"/>
              <w:jc w:val="center"/>
              <w:rPr>
                <w:rFonts w:cstheme="minorHAnsi"/>
                <w:sz w:val="20"/>
                <w:szCs w:val="20"/>
                <w:highlight w:val="yellow"/>
              </w:rPr>
            </w:pPr>
            <w:r>
              <w:rPr>
                <w:rFonts w:ascii="Arial" w:hAnsi="Arial" w:cs="Arial"/>
                <w:b/>
                <w:bCs/>
                <w:sz w:val="20"/>
                <w:szCs w:val="20"/>
              </w:rPr>
              <w:t>100</w:t>
            </w:r>
            <w:r>
              <w:rPr>
                <w:rFonts w:ascii="Arial" w:hAnsi="Arial" w:cs="Arial"/>
                <w:sz w:val="20"/>
                <w:szCs w:val="20"/>
              </w:rPr>
              <w:t xml:space="preserve"> (100%)</w:t>
            </w:r>
          </w:p>
        </w:tc>
      </w:tr>
      <w:bookmarkEnd w:id="0"/>
    </w:tbl>
    <w:p w14:paraId="1C690CE7" w14:textId="77777777" w:rsidR="00BF75A3" w:rsidRDefault="00BF75A3">
      <w:pPr>
        <w:rPr>
          <w:rFonts w:cstheme="minorHAnsi"/>
          <w:b/>
          <w:u w:val="single"/>
        </w:rPr>
      </w:pPr>
    </w:p>
    <w:p w14:paraId="1C690CE8" w14:textId="77777777" w:rsidR="00BF75A3" w:rsidRDefault="00652B2B">
      <w:pPr>
        <w:rPr>
          <w:rFonts w:cstheme="minorHAnsi"/>
          <w:b/>
          <w:u w:val="single"/>
        </w:rPr>
      </w:pPr>
      <w:r>
        <w:rPr>
          <w:rFonts w:cstheme="minorHAnsi"/>
          <w:b/>
          <w:u w:val="single"/>
        </w:rPr>
        <w:t>Income Pupil premium Funding: applicable to students in Year 7 -11</w:t>
      </w:r>
    </w:p>
    <w:p w14:paraId="1C690CE9" w14:textId="77777777" w:rsidR="00BF75A3" w:rsidRDefault="00652B2B">
      <w:pPr>
        <w:spacing w:after="0" w:line="240" w:lineRule="auto"/>
        <w:rPr>
          <w:rFonts w:cstheme="minorHAnsi"/>
        </w:rPr>
      </w:pPr>
      <w:r>
        <w:rPr>
          <w:rFonts w:cstheme="minorHAnsi"/>
        </w:rPr>
        <w:t>2011-12 - £19,699 (£488 per student)</w:t>
      </w:r>
    </w:p>
    <w:p w14:paraId="1C690CEA" w14:textId="77777777" w:rsidR="00BF75A3" w:rsidRDefault="00652B2B">
      <w:pPr>
        <w:spacing w:after="0" w:line="240" w:lineRule="auto"/>
        <w:rPr>
          <w:rFonts w:cstheme="minorHAnsi"/>
        </w:rPr>
      </w:pPr>
      <w:r>
        <w:rPr>
          <w:rFonts w:cstheme="minorHAnsi"/>
        </w:rPr>
        <w:t>2012/13 - £52,100 (£632 per student)</w:t>
      </w:r>
    </w:p>
    <w:p w14:paraId="1C690CEB" w14:textId="77777777" w:rsidR="00BF75A3" w:rsidRDefault="00652B2B">
      <w:pPr>
        <w:spacing w:after="0" w:line="240" w:lineRule="auto"/>
        <w:rPr>
          <w:rFonts w:cstheme="minorHAnsi"/>
        </w:rPr>
      </w:pPr>
      <w:r>
        <w:rPr>
          <w:rFonts w:cstheme="minorHAnsi"/>
        </w:rPr>
        <w:t xml:space="preserve">2013/14 - </w:t>
      </w:r>
      <w:r>
        <w:rPr>
          <w:rFonts w:cstheme="minorHAnsi"/>
        </w:rPr>
        <w:t>£77, 400 (£935 per student)</w:t>
      </w:r>
    </w:p>
    <w:p w14:paraId="1C690CEC" w14:textId="77777777" w:rsidR="00BF75A3" w:rsidRDefault="00652B2B">
      <w:pPr>
        <w:spacing w:after="0" w:line="240" w:lineRule="auto"/>
        <w:rPr>
          <w:rFonts w:cstheme="minorHAnsi"/>
        </w:rPr>
      </w:pPr>
      <w:r>
        <w:rPr>
          <w:rFonts w:cstheme="minorHAnsi"/>
        </w:rPr>
        <w:t>2014/15 - £80,020 (£935 per student; £1,900 per LAC student; £300 per Service child)</w:t>
      </w:r>
    </w:p>
    <w:p w14:paraId="1C690CED" w14:textId="77777777" w:rsidR="00BF75A3" w:rsidRDefault="00652B2B">
      <w:pPr>
        <w:spacing w:after="0" w:line="240" w:lineRule="auto"/>
        <w:rPr>
          <w:rFonts w:cstheme="minorHAnsi"/>
        </w:rPr>
      </w:pPr>
      <w:r>
        <w:rPr>
          <w:rFonts w:cstheme="minorHAnsi"/>
        </w:rPr>
        <w:t>2015/16 - £96,000 (£935 per student; £1,900 per LAC/Child Adopted after Care; £300 per Service Child)</w:t>
      </w:r>
    </w:p>
    <w:p w14:paraId="1C690CEE" w14:textId="77777777" w:rsidR="00BF75A3" w:rsidRDefault="00652B2B">
      <w:pPr>
        <w:spacing w:after="0" w:line="240" w:lineRule="auto"/>
        <w:rPr>
          <w:rFonts w:cstheme="minorHAnsi"/>
        </w:rPr>
      </w:pPr>
      <w:r>
        <w:rPr>
          <w:rFonts w:cstheme="minorHAnsi"/>
        </w:rPr>
        <w:t>2017/18 – £91,360 (£935 per student; £1,9</w:t>
      </w:r>
      <w:r>
        <w:rPr>
          <w:rFonts w:cstheme="minorHAnsi"/>
        </w:rPr>
        <w:t>00 per LAC/Child Adopted after Care; £300 per Service Child)</w:t>
      </w:r>
    </w:p>
    <w:p w14:paraId="1C690CEF" w14:textId="77777777" w:rsidR="00BF75A3" w:rsidRDefault="00652B2B">
      <w:pPr>
        <w:spacing w:after="0" w:line="240" w:lineRule="auto"/>
        <w:rPr>
          <w:rFonts w:cstheme="minorHAnsi"/>
        </w:rPr>
      </w:pPr>
      <w:r>
        <w:rPr>
          <w:rFonts w:cstheme="minorHAnsi"/>
        </w:rPr>
        <w:t>2018/19 – £93,500 (£935 per student; £2,300 per LAC/Child Adopted after Care; £300 per Service Child)</w:t>
      </w:r>
    </w:p>
    <w:p w14:paraId="1C690CF0" w14:textId="77777777" w:rsidR="00BF75A3" w:rsidRDefault="00652B2B">
      <w:pPr>
        <w:spacing w:after="0" w:line="240" w:lineRule="auto"/>
        <w:rPr>
          <w:rFonts w:cstheme="minorHAnsi"/>
        </w:rPr>
      </w:pPr>
      <w:r>
        <w:rPr>
          <w:rFonts w:cstheme="minorHAnsi"/>
        </w:rPr>
        <w:t>2019/20 - £91,630 (£935 per student; £2,300 per LAC/Child Adopted after Care; £300 per Servic</w:t>
      </w:r>
      <w:r>
        <w:rPr>
          <w:rFonts w:cstheme="minorHAnsi"/>
        </w:rPr>
        <w:t>e Child)</w:t>
      </w:r>
    </w:p>
    <w:p w14:paraId="1C690CF1" w14:textId="77777777" w:rsidR="00BF75A3" w:rsidRDefault="00BF75A3">
      <w:pPr>
        <w:spacing w:after="0"/>
        <w:rPr>
          <w:rFonts w:cstheme="minorHAnsi"/>
        </w:rPr>
      </w:pPr>
    </w:p>
    <w:p w14:paraId="1C690CF2" w14:textId="77777777" w:rsidR="00BF75A3" w:rsidRDefault="00652B2B">
      <w:pPr>
        <w:rPr>
          <w:rFonts w:cstheme="minorHAnsi"/>
          <w:b/>
          <w:u w:val="single"/>
        </w:rPr>
      </w:pPr>
      <w:r>
        <w:rPr>
          <w:rFonts w:cstheme="minorHAnsi"/>
          <w:b/>
          <w:u w:val="single"/>
        </w:rPr>
        <w:lastRenderedPageBreak/>
        <w:t>Provision:</w:t>
      </w:r>
    </w:p>
    <w:p w14:paraId="1C690CF3" w14:textId="77777777" w:rsidR="00BF75A3" w:rsidRDefault="00652B2B">
      <w:pPr>
        <w:rPr>
          <w:rFonts w:cstheme="minorHAnsi"/>
        </w:rPr>
      </w:pPr>
      <w:r>
        <w:rPr>
          <w:rFonts w:cstheme="minorHAnsi"/>
        </w:rPr>
        <w:t>In order to meet Pupil Premium objectives, the Directors of SNOMAC and the Committee Members of Hagley Catholic High School will ensure that provision is made which secures the teaching and learning opportunities that meet the needs of</w:t>
      </w:r>
      <w:r>
        <w:rPr>
          <w:rFonts w:cstheme="minorHAnsi"/>
        </w:rPr>
        <w:t xml:space="preserve"> all pupils.</w:t>
      </w:r>
    </w:p>
    <w:p w14:paraId="1C690CF4" w14:textId="77777777" w:rsidR="00BF75A3" w:rsidRDefault="00652B2B">
      <w:pPr>
        <w:rPr>
          <w:rFonts w:cstheme="minorHAnsi"/>
        </w:rPr>
      </w:pPr>
      <w:r>
        <w:rPr>
          <w:rFonts w:cstheme="minorHAnsi"/>
        </w:rPr>
        <w:t>As part of the additional provision made for pupils who belong to vulnerable groups, the Committee Members of the school will ensure that the needs of socially disadvantaged pupils are adequately addressed and assessed through termly pupil pro</w:t>
      </w:r>
      <w:r>
        <w:rPr>
          <w:rFonts w:cstheme="minorHAnsi"/>
        </w:rPr>
        <w:t>gress meetings.</w:t>
      </w:r>
    </w:p>
    <w:p w14:paraId="1C690CF5" w14:textId="77777777" w:rsidR="00BF75A3" w:rsidRDefault="00652B2B">
      <w:pPr>
        <w:rPr>
          <w:rFonts w:cstheme="minorHAnsi"/>
        </w:rPr>
      </w:pPr>
      <w:r>
        <w:rPr>
          <w:rFonts w:cstheme="minorHAnsi"/>
        </w:rPr>
        <w:t>In making provision for socially disadvantaged pupils, the Committee Members recognise that not all pupils who receive free school meals will be socially disadvantaged.</w:t>
      </w:r>
    </w:p>
    <w:p w14:paraId="1C690CF6" w14:textId="77777777" w:rsidR="00BF75A3" w:rsidRDefault="00652B2B">
      <w:pPr>
        <w:rPr>
          <w:rFonts w:cstheme="minorHAnsi"/>
        </w:rPr>
      </w:pPr>
      <w:r>
        <w:rPr>
          <w:rFonts w:cstheme="minorHAnsi"/>
        </w:rPr>
        <w:t>The Committee Members also recognise that not all pupils who are social</w:t>
      </w:r>
      <w:r>
        <w:rPr>
          <w:rFonts w:cstheme="minorHAnsi"/>
        </w:rPr>
        <w:t>ly disadvantaged are registered or qualify for free school meals.  They, therefore, reserve the right to allocate Pupil Premium funding to support any pupil or groups of pupils the school has legitimately identified as being socially disadvantaged.</w:t>
      </w:r>
    </w:p>
    <w:p w14:paraId="1C690CF7" w14:textId="77777777" w:rsidR="00BF75A3" w:rsidRDefault="00652B2B">
      <w:pPr>
        <w:rPr>
          <w:rFonts w:cstheme="minorHAnsi"/>
          <w:b/>
        </w:rPr>
      </w:pPr>
      <w:r>
        <w:rPr>
          <w:rFonts w:cstheme="minorHAnsi"/>
          <w:b/>
        </w:rPr>
        <w:t>The ran</w:t>
      </w:r>
      <w:r>
        <w:rPr>
          <w:rFonts w:cstheme="minorHAnsi"/>
          <w:b/>
        </w:rPr>
        <w:t>ge of provision:</w:t>
      </w:r>
    </w:p>
    <w:p w14:paraId="1C690CF8" w14:textId="77777777" w:rsidR="00BF75A3" w:rsidRDefault="00652B2B">
      <w:pPr>
        <w:pStyle w:val="ListParagraph"/>
        <w:numPr>
          <w:ilvl w:val="0"/>
          <w:numId w:val="15"/>
        </w:numPr>
        <w:rPr>
          <w:rFonts w:cstheme="minorHAnsi"/>
        </w:rPr>
      </w:pPr>
      <w:r>
        <w:rPr>
          <w:rFonts w:cstheme="minorHAnsi"/>
        </w:rPr>
        <w:t>Support student attendance</w:t>
      </w:r>
    </w:p>
    <w:p w14:paraId="1C690CF9" w14:textId="77777777" w:rsidR="00BF75A3" w:rsidRDefault="00652B2B">
      <w:pPr>
        <w:pStyle w:val="ListParagraph"/>
        <w:numPr>
          <w:ilvl w:val="0"/>
          <w:numId w:val="15"/>
        </w:numPr>
        <w:rPr>
          <w:rFonts w:cstheme="minorHAnsi"/>
        </w:rPr>
      </w:pPr>
      <w:r>
        <w:rPr>
          <w:rFonts w:cstheme="minorHAnsi"/>
        </w:rPr>
        <w:t>Pupil progress and intervention tracking</w:t>
      </w:r>
    </w:p>
    <w:p w14:paraId="1C690CFA" w14:textId="77777777" w:rsidR="00BF75A3" w:rsidRDefault="00652B2B">
      <w:pPr>
        <w:pStyle w:val="ListParagraph"/>
        <w:numPr>
          <w:ilvl w:val="0"/>
          <w:numId w:val="15"/>
        </w:numPr>
        <w:rPr>
          <w:rFonts w:cstheme="minorHAnsi"/>
        </w:rPr>
      </w:pPr>
      <w:r>
        <w:rPr>
          <w:rFonts w:cstheme="minorHAnsi"/>
        </w:rPr>
        <w:t>Careers information, advice and guidance</w:t>
      </w:r>
    </w:p>
    <w:p w14:paraId="1C690CFB" w14:textId="77777777" w:rsidR="00BF75A3" w:rsidRDefault="00652B2B">
      <w:pPr>
        <w:pStyle w:val="ListParagraph"/>
        <w:numPr>
          <w:ilvl w:val="0"/>
          <w:numId w:val="15"/>
        </w:numPr>
        <w:rPr>
          <w:rFonts w:cstheme="minorHAnsi"/>
        </w:rPr>
      </w:pPr>
      <w:r>
        <w:rPr>
          <w:rFonts w:cstheme="minorHAnsi"/>
        </w:rPr>
        <w:t>Alternative support and intervention</w:t>
      </w:r>
    </w:p>
    <w:p w14:paraId="1C690CFC" w14:textId="77777777" w:rsidR="00BF75A3" w:rsidRDefault="00652B2B">
      <w:pPr>
        <w:pStyle w:val="ListParagraph"/>
        <w:numPr>
          <w:ilvl w:val="0"/>
          <w:numId w:val="15"/>
        </w:numPr>
        <w:rPr>
          <w:rFonts w:cstheme="minorHAnsi"/>
        </w:rPr>
      </w:pPr>
      <w:r>
        <w:rPr>
          <w:rFonts w:cstheme="minorHAnsi"/>
        </w:rPr>
        <w:t>The development of a nurture group to develop social skills and confidence</w:t>
      </w:r>
    </w:p>
    <w:p w14:paraId="1C690CFD" w14:textId="77777777" w:rsidR="00BF75A3" w:rsidRDefault="00652B2B">
      <w:pPr>
        <w:pStyle w:val="ListParagraph"/>
        <w:numPr>
          <w:ilvl w:val="0"/>
          <w:numId w:val="15"/>
        </w:numPr>
        <w:rPr>
          <w:rFonts w:cstheme="minorHAnsi"/>
        </w:rPr>
      </w:pPr>
      <w:r>
        <w:rPr>
          <w:rFonts w:cstheme="minorHAnsi"/>
        </w:rPr>
        <w:t>Supporting the fun</w:t>
      </w:r>
      <w:r>
        <w:rPr>
          <w:rFonts w:cstheme="minorHAnsi"/>
        </w:rPr>
        <w:t>ding of enrichment activities and educational visits</w:t>
      </w:r>
    </w:p>
    <w:p w14:paraId="1C690CFE" w14:textId="77777777" w:rsidR="00BF75A3" w:rsidRDefault="00652B2B">
      <w:pPr>
        <w:pStyle w:val="ListParagraph"/>
        <w:numPr>
          <w:ilvl w:val="0"/>
          <w:numId w:val="15"/>
        </w:numPr>
        <w:rPr>
          <w:rFonts w:cstheme="minorHAnsi"/>
        </w:rPr>
      </w:pPr>
      <w:r>
        <w:rPr>
          <w:rFonts w:cstheme="minorHAnsi"/>
        </w:rPr>
        <w:t>Support from specialist outside agencies e.g. Educational Psychologist and the Education Intervention Officer</w:t>
      </w:r>
    </w:p>
    <w:p w14:paraId="1C690CFF" w14:textId="77777777" w:rsidR="00BF75A3" w:rsidRDefault="00BF75A3">
      <w:pPr>
        <w:rPr>
          <w:rFonts w:cstheme="minorHAnsi"/>
          <w:b/>
        </w:rPr>
      </w:pPr>
    </w:p>
    <w:p w14:paraId="1C690D00" w14:textId="77777777" w:rsidR="00BF75A3" w:rsidRDefault="00652B2B">
      <w:pPr>
        <w:rPr>
          <w:rFonts w:cstheme="minorHAnsi"/>
          <w:b/>
        </w:rPr>
      </w:pPr>
      <w:r>
        <w:rPr>
          <w:rFonts w:cstheme="minorHAnsi"/>
          <w:b/>
        </w:rPr>
        <w:t>Responsibilities:</w:t>
      </w:r>
    </w:p>
    <w:p w14:paraId="1C690D01" w14:textId="77777777" w:rsidR="00BF75A3" w:rsidRDefault="00652B2B">
      <w:pPr>
        <w:rPr>
          <w:rFonts w:cstheme="minorHAnsi"/>
        </w:rPr>
      </w:pPr>
      <w:r>
        <w:rPr>
          <w:rFonts w:cstheme="minorHAnsi"/>
        </w:rPr>
        <w:t>The realisation of the Pupil Premium initiative must be owned by the entir</w:t>
      </w:r>
      <w:r>
        <w:rPr>
          <w:rFonts w:cstheme="minorHAnsi"/>
        </w:rPr>
        <w:t>e Leadership Team. The overall co-ordination will be carried out by the Principal; however, each member of the Senior Leadership Team will have a designated responsibility for tracking and reporting an area of the Pupil Premium initiative as follows:</w:t>
      </w:r>
    </w:p>
    <w:p w14:paraId="1C690D02" w14:textId="77777777" w:rsidR="00BF75A3" w:rsidRDefault="00BF75A3">
      <w:pPr>
        <w:rPr>
          <w:rFonts w:cstheme="minorHAnsi"/>
        </w:rPr>
      </w:pPr>
    </w:p>
    <w:tbl>
      <w:tblPr>
        <w:tblStyle w:val="TableGrid"/>
        <w:tblW w:w="9493" w:type="dxa"/>
        <w:tblLook w:val="04A0" w:firstRow="1" w:lastRow="0" w:firstColumn="1" w:lastColumn="0" w:noHBand="0" w:noVBand="1"/>
      </w:tblPr>
      <w:tblGrid>
        <w:gridCol w:w="1513"/>
        <w:gridCol w:w="2168"/>
        <w:gridCol w:w="5812"/>
      </w:tblGrid>
      <w:tr w:rsidR="00BF75A3" w14:paraId="1C690D06" w14:textId="77777777">
        <w:tc>
          <w:tcPr>
            <w:tcW w:w="1513" w:type="dxa"/>
          </w:tcPr>
          <w:p w14:paraId="1C690D03" w14:textId="77777777" w:rsidR="00BF75A3" w:rsidRDefault="00652B2B">
            <w:pPr>
              <w:rPr>
                <w:rFonts w:cstheme="minorHAnsi"/>
                <w:b/>
              </w:rPr>
            </w:pPr>
            <w:r>
              <w:rPr>
                <w:rFonts w:cstheme="minorHAnsi"/>
                <w:b/>
              </w:rPr>
              <w:t>Name</w:t>
            </w:r>
          </w:p>
        </w:tc>
        <w:tc>
          <w:tcPr>
            <w:tcW w:w="2168" w:type="dxa"/>
          </w:tcPr>
          <w:p w14:paraId="1C690D04" w14:textId="77777777" w:rsidR="00BF75A3" w:rsidRDefault="00652B2B">
            <w:pPr>
              <w:rPr>
                <w:rFonts w:cstheme="minorHAnsi"/>
                <w:b/>
              </w:rPr>
            </w:pPr>
            <w:r>
              <w:rPr>
                <w:rFonts w:cstheme="minorHAnsi"/>
                <w:b/>
              </w:rPr>
              <w:t>Designation</w:t>
            </w:r>
          </w:p>
        </w:tc>
        <w:tc>
          <w:tcPr>
            <w:tcW w:w="5812" w:type="dxa"/>
          </w:tcPr>
          <w:p w14:paraId="1C690D05" w14:textId="77777777" w:rsidR="00BF75A3" w:rsidRDefault="00652B2B">
            <w:pPr>
              <w:rPr>
                <w:rFonts w:cstheme="minorHAnsi"/>
                <w:b/>
              </w:rPr>
            </w:pPr>
            <w:r>
              <w:rPr>
                <w:rFonts w:cstheme="minorHAnsi"/>
                <w:b/>
              </w:rPr>
              <w:t>Area of responsibility</w:t>
            </w:r>
          </w:p>
        </w:tc>
      </w:tr>
      <w:tr w:rsidR="00BF75A3" w14:paraId="1C690D0B" w14:textId="77777777">
        <w:tc>
          <w:tcPr>
            <w:tcW w:w="1513" w:type="dxa"/>
          </w:tcPr>
          <w:p w14:paraId="1C690D07" w14:textId="77777777" w:rsidR="00BF75A3" w:rsidRDefault="00652B2B">
            <w:pPr>
              <w:rPr>
                <w:rFonts w:cstheme="minorHAnsi"/>
              </w:rPr>
            </w:pPr>
            <w:r>
              <w:rPr>
                <w:rFonts w:cstheme="minorHAnsi"/>
              </w:rPr>
              <w:t>N Hackett</w:t>
            </w:r>
          </w:p>
        </w:tc>
        <w:tc>
          <w:tcPr>
            <w:tcW w:w="2168" w:type="dxa"/>
          </w:tcPr>
          <w:p w14:paraId="1C690D08" w14:textId="77777777" w:rsidR="00BF75A3" w:rsidRDefault="00652B2B">
            <w:pPr>
              <w:rPr>
                <w:rFonts w:cstheme="minorHAnsi"/>
              </w:rPr>
            </w:pPr>
            <w:r>
              <w:rPr>
                <w:rFonts w:cstheme="minorHAnsi"/>
              </w:rPr>
              <w:t>Assistant Principal</w:t>
            </w:r>
          </w:p>
        </w:tc>
        <w:tc>
          <w:tcPr>
            <w:tcW w:w="5812" w:type="dxa"/>
          </w:tcPr>
          <w:p w14:paraId="1C690D09" w14:textId="77777777" w:rsidR="00BF75A3" w:rsidRDefault="00652B2B">
            <w:pPr>
              <w:rPr>
                <w:rFonts w:cstheme="minorHAnsi"/>
              </w:rPr>
            </w:pPr>
            <w:r>
              <w:rPr>
                <w:rFonts w:cstheme="minorHAnsi"/>
              </w:rPr>
              <w:t>Overall co-ordination of PP initiative.</w:t>
            </w:r>
          </w:p>
          <w:p w14:paraId="1C690D0A" w14:textId="77777777" w:rsidR="00BF75A3" w:rsidRDefault="00652B2B">
            <w:pPr>
              <w:rPr>
                <w:rFonts w:cstheme="minorHAnsi"/>
              </w:rPr>
            </w:pPr>
            <w:r>
              <w:rPr>
                <w:rFonts w:cstheme="minorHAnsi"/>
              </w:rPr>
              <w:t>Data analysis, progress tracking &amp; production of reports for all PP students. Whole school intervention co-ordinator.</w:t>
            </w:r>
          </w:p>
        </w:tc>
      </w:tr>
      <w:tr w:rsidR="00BF75A3" w14:paraId="1C690D10" w14:textId="77777777">
        <w:tc>
          <w:tcPr>
            <w:tcW w:w="1513" w:type="dxa"/>
          </w:tcPr>
          <w:p w14:paraId="1C690D0C" w14:textId="77777777" w:rsidR="00BF75A3" w:rsidRDefault="00652B2B">
            <w:pPr>
              <w:rPr>
                <w:rFonts w:cstheme="minorHAnsi"/>
              </w:rPr>
            </w:pPr>
            <w:r>
              <w:rPr>
                <w:rFonts w:cstheme="minorHAnsi"/>
              </w:rPr>
              <w:t>G Barratt</w:t>
            </w:r>
          </w:p>
        </w:tc>
        <w:tc>
          <w:tcPr>
            <w:tcW w:w="2168" w:type="dxa"/>
          </w:tcPr>
          <w:p w14:paraId="1C690D0D" w14:textId="77777777" w:rsidR="00BF75A3" w:rsidRDefault="00652B2B">
            <w:pPr>
              <w:rPr>
                <w:rFonts w:cstheme="minorHAnsi"/>
              </w:rPr>
            </w:pPr>
            <w:r>
              <w:rPr>
                <w:rFonts w:cstheme="minorHAnsi"/>
              </w:rPr>
              <w:t>Assistant Principal</w:t>
            </w:r>
          </w:p>
        </w:tc>
        <w:tc>
          <w:tcPr>
            <w:tcW w:w="5812" w:type="dxa"/>
          </w:tcPr>
          <w:p w14:paraId="1C690D0E" w14:textId="77777777" w:rsidR="00BF75A3" w:rsidRDefault="00652B2B">
            <w:pPr>
              <w:rPr>
                <w:rFonts w:cstheme="minorHAnsi"/>
              </w:rPr>
            </w:pPr>
            <w:r>
              <w:rPr>
                <w:rFonts w:cstheme="minorHAnsi"/>
              </w:rPr>
              <w:t>Extra-curricular &amp; residential trip participation tracking for PP students.</w:t>
            </w:r>
          </w:p>
          <w:p w14:paraId="1C690D0F" w14:textId="77777777" w:rsidR="00BF75A3" w:rsidRDefault="00652B2B">
            <w:pPr>
              <w:rPr>
                <w:rFonts w:cstheme="minorHAnsi"/>
                <w:color w:val="FF0000"/>
              </w:rPr>
            </w:pPr>
            <w:r>
              <w:rPr>
                <w:rFonts w:cstheme="minorHAnsi"/>
              </w:rPr>
              <w:t>Behaviour and reward tracking for PP students</w:t>
            </w:r>
          </w:p>
        </w:tc>
      </w:tr>
      <w:tr w:rsidR="00BF75A3" w14:paraId="1C690D14" w14:textId="77777777">
        <w:tc>
          <w:tcPr>
            <w:tcW w:w="1513" w:type="dxa"/>
          </w:tcPr>
          <w:p w14:paraId="1C690D11" w14:textId="77777777" w:rsidR="00BF75A3" w:rsidRDefault="00652B2B">
            <w:pPr>
              <w:rPr>
                <w:rFonts w:cstheme="minorHAnsi"/>
              </w:rPr>
            </w:pPr>
            <w:r>
              <w:rPr>
                <w:rFonts w:cstheme="minorHAnsi"/>
              </w:rPr>
              <w:t xml:space="preserve">A Trickett </w:t>
            </w:r>
          </w:p>
        </w:tc>
        <w:tc>
          <w:tcPr>
            <w:tcW w:w="2168" w:type="dxa"/>
          </w:tcPr>
          <w:p w14:paraId="1C690D12" w14:textId="77777777" w:rsidR="00BF75A3" w:rsidRDefault="00652B2B">
            <w:pPr>
              <w:rPr>
                <w:rFonts w:cstheme="minorHAnsi"/>
              </w:rPr>
            </w:pPr>
            <w:r>
              <w:rPr>
                <w:rFonts w:cstheme="minorHAnsi"/>
              </w:rPr>
              <w:t>Assistant Principal</w:t>
            </w:r>
          </w:p>
        </w:tc>
        <w:tc>
          <w:tcPr>
            <w:tcW w:w="5812" w:type="dxa"/>
          </w:tcPr>
          <w:p w14:paraId="1C690D13" w14:textId="77777777" w:rsidR="00BF75A3" w:rsidRDefault="00652B2B">
            <w:pPr>
              <w:rPr>
                <w:rFonts w:cstheme="minorHAnsi"/>
              </w:rPr>
            </w:pPr>
            <w:r>
              <w:rPr>
                <w:rFonts w:cstheme="minorHAnsi"/>
              </w:rPr>
              <w:t>Coordination of Year 11 intervention and identification of PP students and tracking progress</w:t>
            </w:r>
          </w:p>
        </w:tc>
      </w:tr>
      <w:tr w:rsidR="00BF75A3" w14:paraId="1C690D18" w14:textId="77777777">
        <w:tc>
          <w:tcPr>
            <w:tcW w:w="1513" w:type="dxa"/>
          </w:tcPr>
          <w:p w14:paraId="1C690D15" w14:textId="77777777" w:rsidR="00BF75A3" w:rsidRDefault="00652B2B">
            <w:pPr>
              <w:rPr>
                <w:rFonts w:cstheme="minorHAnsi"/>
              </w:rPr>
            </w:pPr>
            <w:r>
              <w:rPr>
                <w:rFonts w:cstheme="minorHAnsi"/>
              </w:rPr>
              <w:lastRenderedPageBreak/>
              <w:t xml:space="preserve">R </w:t>
            </w:r>
            <w:r>
              <w:rPr>
                <w:rFonts w:cstheme="minorHAnsi"/>
              </w:rPr>
              <w:t>Miastowski</w:t>
            </w:r>
          </w:p>
        </w:tc>
        <w:tc>
          <w:tcPr>
            <w:tcW w:w="2168" w:type="dxa"/>
          </w:tcPr>
          <w:p w14:paraId="1C690D16" w14:textId="77777777" w:rsidR="00BF75A3" w:rsidRDefault="00652B2B">
            <w:pPr>
              <w:rPr>
                <w:rFonts w:cstheme="minorHAnsi"/>
              </w:rPr>
            </w:pPr>
            <w:r>
              <w:rPr>
                <w:rFonts w:cstheme="minorHAnsi"/>
              </w:rPr>
              <w:t>Assistant Principal</w:t>
            </w:r>
          </w:p>
        </w:tc>
        <w:tc>
          <w:tcPr>
            <w:tcW w:w="5812" w:type="dxa"/>
          </w:tcPr>
          <w:p w14:paraId="1C690D17" w14:textId="77777777" w:rsidR="00BF75A3" w:rsidRDefault="00652B2B">
            <w:pPr>
              <w:rPr>
                <w:rFonts w:cstheme="minorHAnsi"/>
              </w:rPr>
            </w:pPr>
            <w:r>
              <w:rPr>
                <w:rFonts w:cstheme="minorHAnsi"/>
              </w:rPr>
              <w:t xml:space="preserve">Tracking of the involvement of PP students in the Catholic Life of the School. </w:t>
            </w:r>
          </w:p>
        </w:tc>
      </w:tr>
      <w:tr w:rsidR="00BF75A3" w14:paraId="1C690D1E" w14:textId="77777777">
        <w:tc>
          <w:tcPr>
            <w:tcW w:w="1513" w:type="dxa"/>
          </w:tcPr>
          <w:p w14:paraId="1C690D19" w14:textId="77777777" w:rsidR="00BF75A3" w:rsidRDefault="00652B2B">
            <w:pPr>
              <w:rPr>
                <w:rFonts w:cstheme="minorHAnsi"/>
              </w:rPr>
            </w:pPr>
            <w:r>
              <w:rPr>
                <w:rFonts w:cstheme="minorHAnsi"/>
              </w:rPr>
              <w:t>J Jones</w:t>
            </w:r>
          </w:p>
          <w:p w14:paraId="1C690D1A" w14:textId="77777777" w:rsidR="00BF75A3" w:rsidRDefault="00BF75A3">
            <w:pPr>
              <w:rPr>
                <w:rFonts w:cstheme="minorHAnsi"/>
              </w:rPr>
            </w:pPr>
          </w:p>
        </w:tc>
        <w:tc>
          <w:tcPr>
            <w:tcW w:w="2168" w:type="dxa"/>
          </w:tcPr>
          <w:p w14:paraId="1C690D1B" w14:textId="77777777" w:rsidR="00BF75A3" w:rsidRDefault="00652B2B">
            <w:pPr>
              <w:rPr>
                <w:rFonts w:cstheme="minorHAnsi"/>
              </w:rPr>
            </w:pPr>
            <w:r>
              <w:rPr>
                <w:rFonts w:cstheme="minorHAnsi"/>
              </w:rPr>
              <w:t>Finance Manager</w:t>
            </w:r>
          </w:p>
          <w:p w14:paraId="1C690D1C" w14:textId="77777777" w:rsidR="00BF75A3" w:rsidRDefault="00BF75A3">
            <w:pPr>
              <w:rPr>
                <w:rFonts w:cstheme="minorHAnsi"/>
              </w:rPr>
            </w:pPr>
          </w:p>
        </w:tc>
        <w:tc>
          <w:tcPr>
            <w:tcW w:w="5812" w:type="dxa"/>
          </w:tcPr>
          <w:p w14:paraId="1C690D1D" w14:textId="77777777" w:rsidR="00BF75A3" w:rsidRDefault="00652B2B">
            <w:pPr>
              <w:rPr>
                <w:rFonts w:cstheme="minorHAnsi"/>
              </w:rPr>
            </w:pPr>
            <w:r>
              <w:rPr>
                <w:rFonts w:cstheme="minorHAnsi"/>
              </w:rPr>
              <w:t>Tracking and reporting on PP funding expenditure</w:t>
            </w:r>
          </w:p>
        </w:tc>
      </w:tr>
    </w:tbl>
    <w:p w14:paraId="1C690D1F" w14:textId="77777777" w:rsidR="00BF75A3" w:rsidRDefault="00BF75A3">
      <w:pPr>
        <w:rPr>
          <w:rFonts w:cstheme="minorHAnsi"/>
        </w:rPr>
      </w:pPr>
    </w:p>
    <w:p w14:paraId="1C690D20" w14:textId="77777777" w:rsidR="00BF75A3" w:rsidRDefault="00652B2B">
      <w:pPr>
        <w:rPr>
          <w:rFonts w:cstheme="minorHAnsi"/>
        </w:rPr>
      </w:pPr>
      <w:r>
        <w:rPr>
          <w:rFonts w:cstheme="minorHAnsi"/>
        </w:rPr>
        <w:t xml:space="preserve">Although the progress of and intervention for pupils eligible for </w:t>
      </w:r>
      <w:r>
        <w:rPr>
          <w:rFonts w:cstheme="minorHAnsi"/>
        </w:rPr>
        <w:t>Pupil Premium is the responsibility of subject teachers, at individual subject level it is the responsibility of the subject leader or relevant key stage co-ordinator to track the progress of this cohort of pupils and agree on relevant interventions in ord</w:t>
      </w:r>
      <w:r>
        <w:rPr>
          <w:rFonts w:cstheme="minorHAnsi"/>
        </w:rPr>
        <w:t>er to ensure that each pupil makes expected levels of progress.</w:t>
      </w:r>
    </w:p>
    <w:p w14:paraId="1C690D21" w14:textId="77777777" w:rsidR="00BF75A3" w:rsidRDefault="00652B2B">
      <w:pPr>
        <w:rPr>
          <w:rFonts w:cstheme="minorHAnsi"/>
        </w:rPr>
      </w:pPr>
      <w:r>
        <w:rPr>
          <w:rFonts w:cstheme="minorHAnsi"/>
        </w:rPr>
        <w:t>It will be the responsibility of the Assistant Principal to produce a termly report for Committee Members based on feedback from relevant subject leaders/co-ordinators and SLT members.  The re</w:t>
      </w:r>
      <w:r>
        <w:rPr>
          <w:rFonts w:cstheme="minorHAnsi"/>
        </w:rPr>
        <w:t>port will include:</w:t>
      </w:r>
    </w:p>
    <w:p w14:paraId="1C690D22" w14:textId="77777777" w:rsidR="00BF75A3" w:rsidRDefault="00652B2B">
      <w:pPr>
        <w:pStyle w:val="ListParagraph"/>
        <w:numPr>
          <w:ilvl w:val="0"/>
          <w:numId w:val="3"/>
        </w:numPr>
        <w:rPr>
          <w:rFonts w:cstheme="minorHAnsi"/>
        </w:rPr>
      </w:pPr>
      <w:r>
        <w:rPr>
          <w:rFonts w:cstheme="minorHAnsi"/>
        </w:rPr>
        <w:t>The progress made towards narrowing the gap, by year group, for socially disadvantaged pupils.</w:t>
      </w:r>
    </w:p>
    <w:p w14:paraId="1C690D23" w14:textId="77777777" w:rsidR="00BF75A3" w:rsidRDefault="00652B2B">
      <w:pPr>
        <w:pStyle w:val="ListParagraph"/>
        <w:numPr>
          <w:ilvl w:val="0"/>
          <w:numId w:val="3"/>
        </w:numPr>
        <w:rPr>
          <w:rFonts w:cstheme="minorHAnsi"/>
        </w:rPr>
      </w:pPr>
      <w:r>
        <w:rPr>
          <w:rFonts w:cstheme="minorHAnsi"/>
        </w:rPr>
        <w:t>An outline of the provision that was made during the term since the last meeting.</w:t>
      </w:r>
    </w:p>
    <w:p w14:paraId="1C690D24" w14:textId="77777777" w:rsidR="00BF75A3" w:rsidRDefault="00652B2B">
      <w:pPr>
        <w:rPr>
          <w:rFonts w:cstheme="minorHAnsi"/>
        </w:rPr>
      </w:pPr>
      <w:r>
        <w:rPr>
          <w:rFonts w:cstheme="minorHAnsi"/>
        </w:rPr>
        <w:t>The Committee Members will ensure that there is an annual st</w:t>
      </w:r>
      <w:r>
        <w:rPr>
          <w:rFonts w:cstheme="minorHAnsi"/>
        </w:rPr>
        <w:t>atement to the parents outlining how the Pupil Premium funding has been used to address the issue of closing the gap for socially disadvantaged pupils.  This task will be carried out within the requirements published by the Department for Education.</w:t>
      </w:r>
    </w:p>
    <w:p w14:paraId="1C690D25" w14:textId="77777777" w:rsidR="00BF75A3" w:rsidRDefault="00652B2B">
      <w:pPr>
        <w:rPr>
          <w:rFonts w:cstheme="minorHAnsi"/>
          <w:b/>
        </w:rPr>
      </w:pPr>
      <w:r>
        <w:rPr>
          <w:rFonts w:cstheme="minorHAnsi"/>
          <w:b/>
        </w:rPr>
        <w:t>Succes</w:t>
      </w:r>
      <w:r>
        <w:rPr>
          <w:rFonts w:cstheme="minorHAnsi"/>
          <w:b/>
        </w:rPr>
        <w:t>s Criteria:</w:t>
      </w:r>
    </w:p>
    <w:p w14:paraId="1C690D26" w14:textId="77777777" w:rsidR="00BF75A3" w:rsidRDefault="00652B2B">
      <w:pPr>
        <w:rPr>
          <w:rFonts w:cstheme="minorHAnsi"/>
        </w:rPr>
      </w:pPr>
      <w:r>
        <w:rPr>
          <w:rFonts w:cstheme="minorHAnsi"/>
        </w:rPr>
        <w:t>The evaluation of this policy is based on how the school can close the gap between socially disadvantaged pupils and their peers.  Targets will be identified and evaluated annually and included in the School Development Plan.</w:t>
      </w:r>
    </w:p>
    <w:p w14:paraId="1C690D27" w14:textId="77777777" w:rsidR="00BF75A3" w:rsidRDefault="00652B2B">
      <w:pPr>
        <w:rPr>
          <w:rFonts w:cstheme="minorHAnsi"/>
        </w:rPr>
      </w:pPr>
      <w:r>
        <w:rPr>
          <w:rFonts w:cstheme="minorHAnsi"/>
        </w:rPr>
        <w:t>The success criter</w:t>
      </w:r>
      <w:r>
        <w:rPr>
          <w:rFonts w:cstheme="minorHAnsi"/>
        </w:rPr>
        <w:t>ia for the Pupil Premium Policy will be based on the provision of evidence of:</w:t>
      </w:r>
    </w:p>
    <w:p w14:paraId="1C690D28" w14:textId="77777777" w:rsidR="00BF75A3" w:rsidRDefault="00652B2B">
      <w:pPr>
        <w:pStyle w:val="ListParagraph"/>
        <w:numPr>
          <w:ilvl w:val="0"/>
          <w:numId w:val="4"/>
        </w:numPr>
        <w:rPr>
          <w:rFonts w:cstheme="minorHAnsi"/>
        </w:rPr>
      </w:pPr>
      <w:r>
        <w:rPr>
          <w:rFonts w:cstheme="minorHAnsi"/>
        </w:rPr>
        <w:t>Early intervention and support for socially disadvantaged children.</w:t>
      </w:r>
    </w:p>
    <w:p w14:paraId="1C690D29" w14:textId="77777777" w:rsidR="00BF75A3" w:rsidRDefault="00652B2B">
      <w:pPr>
        <w:pStyle w:val="ListParagraph"/>
        <w:numPr>
          <w:ilvl w:val="0"/>
          <w:numId w:val="4"/>
        </w:numPr>
        <w:rPr>
          <w:rFonts w:cstheme="minorHAnsi"/>
        </w:rPr>
      </w:pPr>
      <w:r>
        <w:rPr>
          <w:rFonts w:cstheme="minorHAnsi"/>
        </w:rPr>
        <w:t>The vast majority of socially disadvantaged children meeting their individual targets.</w:t>
      </w:r>
    </w:p>
    <w:p w14:paraId="1C690D2A" w14:textId="77777777" w:rsidR="00BF75A3" w:rsidRDefault="00652B2B">
      <w:pPr>
        <w:pStyle w:val="ListParagraph"/>
        <w:numPr>
          <w:ilvl w:val="0"/>
          <w:numId w:val="4"/>
        </w:numPr>
        <w:rPr>
          <w:rFonts w:cstheme="minorHAnsi"/>
        </w:rPr>
      </w:pPr>
      <w:r>
        <w:rPr>
          <w:rFonts w:cstheme="minorHAnsi"/>
        </w:rPr>
        <w:t>Effective pupil school</w:t>
      </w:r>
      <w:r>
        <w:rPr>
          <w:rFonts w:cstheme="minorHAnsi"/>
        </w:rPr>
        <w:t xml:space="preserve"> support, including effective transition.</w:t>
      </w:r>
    </w:p>
    <w:p w14:paraId="1C690D2B" w14:textId="77777777" w:rsidR="00BF75A3" w:rsidRDefault="00652B2B">
      <w:pPr>
        <w:pStyle w:val="ListParagraph"/>
        <w:numPr>
          <w:ilvl w:val="0"/>
          <w:numId w:val="4"/>
        </w:numPr>
        <w:rPr>
          <w:rFonts w:cstheme="minorHAnsi"/>
        </w:rPr>
      </w:pPr>
      <w:r>
        <w:rPr>
          <w:rFonts w:cstheme="minorHAnsi"/>
        </w:rPr>
        <w:t>An effective system for identifying, assessing and monitoring pupils.</w:t>
      </w:r>
    </w:p>
    <w:p w14:paraId="1C690D2C" w14:textId="77777777" w:rsidR="00BF75A3" w:rsidRDefault="00652B2B">
      <w:pPr>
        <w:pStyle w:val="ListParagraph"/>
        <w:numPr>
          <w:ilvl w:val="0"/>
          <w:numId w:val="4"/>
        </w:numPr>
        <w:rPr>
          <w:rFonts w:cstheme="minorHAnsi"/>
        </w:rPr>
      </w:pPr>
      <w:r>
        <w:rPr>
          <w:rFonts w:cstheme="minorHAnsi"/>
        </w:rPr>
        <w:t>A whole-school approach.</w:t>
      </w:r>
    </w:p>
    <w:p w14:paraId="1C690D2D" w14:textId="77777777" w:rsidR="00BF75A3" w:rsidRDefault="00652B2B">
      <w:pPr>
        <w:pStyle w:val="ListParagraph"/>
        <w:numPr>
          <w:ilvl w:val="0"/>
          <w:numId w:val="4"/>
        </w:numPr>
        <w:rPr>
          <w:rFonts w:cstheme="minorHAnsi"/>
        </w:rPr>
      </w:pPr>
      <w:r>
        <w:rPr>
          <w:rFonts w:cstheme="minorHAnsi"/>
        </w:rPr>
        <w:t>A positive school atmosphere in which pupils’ differences are recognised and valued members of the school community; de</w:t>
      </w:r>
      <w:r>
        <w:rPr>
          <w:rFonts w:cstheme="minorHAnsi"/>
        </w:rPr>
        <w:t>veloping confident and independent learners.</w:t>
      </w:r>
    </w:p>
    <w:p w14:paraId="1C690D2E" w14:textId="41F6A9D6" w:rsidR="00BF75A3" w:rsidRDefault="00BF75A3">
      <w:pPr>
        <w:rPr>
          <w:rFonts w:cstheme="minorHAnsi"/>
        </w:rPr>
      </w:pPr>
    </w:p>
    <w:p w14:paraId="2EDE5920" w14:textId="230DE70F" w:rsidR="006924D9" w:rsidRDefault="006924D9">
      <w:pPr>
        <w:rPr>
          <w:rFonts w:cstheme="minorHAnsi"/>
        </w:rPr>
      </w:pPr>
    </w:p>
    <w:p w14:paraId="6765FA65" w14:textId="4E43EDA0" w:rsidR="006924D9" w:rsidRDefault="006924D9">
      <w:pPr>
        <w:rPr>
          <w:rFonts w:cstheme="minorHAnsi"/>
        </w:rPr>
      </w:pPr>
    </w:p>
    <w:p w14:paraId="1EFFF369" w14:textId="5C29C647" w:rsidR="006924D9" w:rsidRDefault="006924D9">
      <w:pPr>
        <w:rPr>
          <w:rFonts w:cstheme="minorHAnsi"/>
        </w:rPr>
      </w:pPr>
    </w:p>
    <w:p w14:paraId="49A88867" w14:textId="6185C5DC" w:rsidR="006924D9" w:rsidRDefault="006924D9">
      <w:pPr>
        <w:rPr>
          <w:rFonts w:cstheme="minorHAnsi"/>
        </w:rPr>
      </w:pPr>
    </w:p>
    <w:p w14:paraId="64047F15" w14:textId="77777777" w:rsidR="006924D9" w:rsidRDefault="006924D9">
      <w:pPr>
        <w:rPr>
          <w:rFonts w:cstheme="minorHAnsi"/>
        </w:rPr>
      </w:pPr>
    </w:p>
    <w:p w14:paraId="1C690D2F" w14:textId="77777777" w:rsidR="00BF75A3" w:rsidRDefault="00BF75A3">
      <w:pPr>
        <w:rPr>
          <w:rFonts w:cstheme="minorHAnsi"/>
        </w:rPr>
      </w:pPr>
    </w:p>
    <w:p w14:paraId="1C690D30" w14:textId="77777777" w:rsidR="00BF75A3" w:rsidRDefault="00652B2B">
      <w:pPr>
        <w:rPr>
          <w:rFonts w:cstheme="minorHAnsi"/>
          <w:b/>
        </w:rPr>
      </w:pPr>
      <w:r>
        <w:rPr>
          <w:rFonts w:cstheme="minorHAnsi"/>
          <w:b/>
        </w:rPr>
        <w:lastRenderedPageBreak/>
        <w:t>Protocols:</w:t>
      </w:r>
    </w:p>
    <w:p w14:paraId="1C690D31" w14:textId="77777777" w:rsidR="00BF75A3" w:rsidRDefault="00652B2B">
      <w:pPr>
        <w:rPr>
          <w:rFonts w:cstheme="minorHAnsi"/>
          <w:b/>
          <w:u w:val="single"/>
        </w:rPr>
      </w:pPr>
      <w:r>
        <w:rPr>
          <w:rFonts w:cstheme="minorHAnsi"/>
          <w:b/>
          <w:u w:val="single"/>
        </w:rPr>
        <w:t>Curriculum Intervention:</w:t>
      </w:r>
    </w:p>
    <w:p w14:paraId="1C690D32" w14:textId="77777777" w:rsidR="00BF75A3" w:rsidRDefault="00652B2B">
      <w:pPr>
        <w:rPr>
          <w:rFonts w:cstheme="minorHAnsi"/>
        </w:rPr>
      </w:pPr>
      <w:r>
        <w:rPr>
          <w:rFonts w:cstheme="minorHAnsi"/>
        </w:rPr>
        <w:t>Research by the Sutton Trust – Education Endowment Foundation has highlighted that the most effective intervention in terms of cost effectiveness and months of progress a pupil can make is effective teaching and learning, with an emphasis on feedback where</w:t>
      </w:r>
      <w:r>
        <w:rPr>
          <w:rFonts w:cstheme="minorHAnsi"/>
        </w:rPr>
        <w:t xml:space="preserve"> in excess of 8 months’ progress can be made.  The majority of curriculum intervention for Pupil Premium pupils should, therefore, take place in the classroom and be the responsibility of the subject teacher in liaison with the relevant subject co-ordinato</w:t>
      </w:r>
      <w:r>
        <w:rPr>
          <w:rFonts w:cstheme="minorHAnsi"/>
        </w:rPr>
        <w:t>r.</w:t>
      </w:r>
    </w:p>
    <w:p w14:paraId="1C690D33" w14:textId="77777777" w:rsidR="00BF75A3" w:rsidRDefault="00652B2B">
      <w:pPr>
        <w:rPr>
          <w:rFonts w:cstheme="minorHAnsi"/>
        </w:rPr>
      </w:pPr>
      <w:r>
        <w:rPr>
          <w:rFonts w:cstheme="minorHAnsi"/>
        </w:rPr>
        <w:t>The exception to this will be literacy and numeracy intervention which may take the form of classroom intervention or the withdrawal of students for small group or 1:1 tuition.  This type of tuition can enable a pupil to make in excess of 5 months progr</w:t>
      </w:r>
      <w:r>
        <w:rPr>
          <w:rFonts w:cstheme="minorHAnsi"/>
        </w:rPr>
        <w:t>ess.  The intervention must, however, be focussed and the impact measured from the pupil’s starting point.</w:t>
      </w:r>
    </w:p>
    <w:p w14:paraId="1C690D34" w14:textId="77777777" w:rsidR="00BF75A3" w:rsidRDefault="00BF75A3">
      <w:pPr>
        <w:rPr>
          <w:rFonts w:cstheme="minorHAnsi"/>
          <w:b/>
          <w:u w:val="single"/>
        </w:rPr>
      </w:pPr>
    </w:p>
    <w:p w14:paraId="1C690D35" w14:textId="77777777" w:rsidR="00BF75A3" w:rsidRDefault="00652B2B">
      <w:pPr>
        <w:rPr>
          <w:rFonts w:cstheme="minorHAnsi"/>
          <w:b/>
          <w:u w:val="single"/>
        </w:rPr>
      </w:pPr>
      <w:r>
        <w:rPr>
          <w:rFonts w:cstheme="minorHAnsi"/>
          <w:b/>
          <w:u w:val="single"/>
        </w:rPr>
        <w:t>Small Group and 1:1 Tuition:</w:t>
      </w:r>
    </w:p>
    <w:p w14:paraId="1C690D36" w14:textId="77777777" w:rsidR="00BF75A3" w:rsidRDefault="00652B2B">
      <w:pPr>
        <w:rPr>
          <w:rFonts w:cstheme="minorHAnsi"/>
        </w:rPr>
      </w:pPr>
      <w:r>
        <w:rPr>
          <w:rFonts w:cstheme="minorHAnsi"/>
        </w:rPr>
        <w:t>At Key Stage 3 a nurture group has been created which enables disadvantaged and vulnerable learners to receive the nece</w:t>
      </w:r>
      <w:r>
        <w:rPr>
          <w:rFonts w:cstheme="minorHAnsi"/>
        </w:rPr>
        <w:t>ssary intervention needed to achieve their full potential.</w:t>
      </w:r>
    </w:p>
    <w:p w14:paraId="1C690D37" w14:textId="77777777" w:rsidR="00BF75A3" w:rsidRDefault="00652B2B">
      <w:pPr>
        <w:rPr>
          <w:rFonts w:cstheme="minorHAnsi"/>
        </w:rPr>
      </w:pPr>
      <w:r>
        <w:rPr>
          <w:rFonts w:cstheme="minorHAnsi"/>
        </w:rPr>
        <w:t>At Key Stage 4 every effort must be made not to withdraw students from other subject areas.  Intervention for this focus group should, therefore, be scheduled to take place on Tuesday mornings duri</w:t>
      </w:r>
      <w:r>
        <w:rPr>
          <w:rFonts w:cstheme="minorHAnsi"/>
        </w:rPr>
        <w:t>ng period 1 or during scheduled Study Support sessions.  On rare occasions where students are withdrawn from scheduled lessons there must be a sound rationale for this which must be presented in writing to the Principal who must sanction this prior to deli</w:t>
      </w:r>
      <w:r>
        <w:rPr>
          <w:rFonts w:cstheme="minorHAnsi"/>
        </w:rPr>
        <w:t>very.</w:t>
      </w:r>
    </w:p>
    <w:p w14:paraId="1C690D38" w14:textId="77777777" w:rsidR="00BF75A3" w:rsidRDefault="00652B2B">
      <w:pPr>
        <w:rPr>
          <w:rFonts w:cstheme="minorHAnsi"/>
        </w:rPr>
      </w:pPr>
      <w:r>
        <w:rPr>
          <w:rFonts w:cstheme="minorHAnsi"/>
        </w:rPr>
        <w:t>Interventions will generally be scheduled to take place over a term.  Pupil progress should be tracked and recorded on SIMs during the relevant reporting window.</w:t>
      </w:r>
    </w:p>
    <w:p w14:paraId="1C690D39" w14:textId="77777777" w:rsidR="00BF75A3" w:rsidRDefault="00BF75A3">
      <w:pPr>
        <w:rPr>
          <w:rFonts w:cstheme="minorHAnsi"/>
        </w:rPr>
      </w:pPr>
    </w:p>
    <w:p w14:paraId="1C690D3A" w14:textId="77777777" w:rsidR="00BF75A3" w:rsidRDefault="00652B2B">
      <w:pPr>
        <w:rPr>
          <w:rFonts w:cstheme="minorHAnsi"/>
          <w:b/>
        </w:rPr>
      </w:pPr>
      <w:r>
        <w:rPr>
          <w:rFonts w:cstheme="minorHAnsi"/>
          <w:b/>
        </w:rPr>
        <w:t>Funding for Other Interventions:</w:t>
      </w:r>
    </w:p>
    <w:p w14:paraId="1C690D3B" w14:textId="77777777" w:rsidR="00BF75A3" w:rsidRDefault="00652B2B">
      <w:pPr>
        <w:rPr>
          <w:rFonts w:cstheme="minorHAnsi"/>
        </w:rPr>
      </w:pPr>
      <w:r>
        <w:rPr>
          <w:rFonts w:cstheme="minorHAnsi"/>
        </w:rPr>
        <w:t>A small amount of money has been allocated to fund int</w:t>
      </w:r>
      <w:r>
        <w:rPr>
          <w:rFonts w:cstheme="minorHAnsi"/>
        </w:rPr>
        <w:t>erventions in other subject areas.  Subject Leaders and/or Key Stage Co-ordinators will be required to submit a bid for the funding in which they outline:</w:t>
      </w:r>
    </w:p>
    <w:p w14:paraId="1C690D3C" w14:textId="77777777" w:rsidR="00BF75A3" w:rsidRDefault="00652B2B">
      <w:pPr>
        <w:pStyle w:val="ListParagraph"/>
        <w:numPr>
          <w:ilvl w:val="0"/>
          <w:numId w:val="5"/>
        </w:numPr>
        <w:rPr>
          <w:rFonts w:cstheme="minorHAnsi"/>
        </w:rPr>
      </w:pPr>
      <w:r>
        <w:rPr>
          <w:rFonts w:cstheme="minorHAnsi"/>
        </w:rPr>
        <w:t>The target group (specific names of PP students will be required).</w:t>
      </w:r>
    </w:p>
    <w:p w14:paraId="1C690D3D" w14:textId="77777777" w:rsidR="00BF75A3" w:rsidRDefault="00652B2B">
      <w:pPr>
        <w:pStyle w:val="ListParagraph"/>
        <w:numPr>
          <w:ilvl w:val="0"/>
          <w:numId w:val="5"/>
        </w:numPr>
        <w:rPr>
          <w:rFonts w:cstheme="minorHAnsi"/>
        </w:rPr>
      </w:pPr>
      <w:r>
        <w:rPr>
          <w:rFonts w:cstheme="minorHAnsi"/>
        </w:rPr>
        <w:t>The reason they are applying for t</w:t>
      </w:r>
      <w:r>
        <w:rPr>
          <w:rFonts w:cstheme="minorHAnsi"/>
        </w:rPr>
        <w:t>he funding (specific data related to progress will be required where appropriate)</w:t>
      </w:r>
    </w:p>
    <w:p w14:paraId="1C690D3E" w14:textId="77777777" w:rsidR="00BF75A3" w:rsidRDefault="00652B2B">
      <w:pPr>
        <w:pStyle w:val="ListParagraph"/>
        <w:numPr>
          <w:ilvl w:val="0"/>
          <w:numId w:val="5"/>
        </w:numPr>
        <w:rPr>
          <w:rFonts w:cstheme="minorHAnsi"/>
        </w:rPr>
      </w:pPr>
      <w:r>
        <w:rPr>
          <w:rFonts w:cstheme="minorHAnsi"/>
        </w:rPr>
        <w:t>Expected outcomes (i.e. how the gap will be closed in relation to starting points and expected progress)</w:t>
      </w:r>
    </w:p>
    <w:p w14:paraId="1C690D3F" w14:textId="77777777" w:rsidR="00BF75A3" w:rsidRDefault="00652B2B">
      <w:pPr>
        <w:pStyle w:val="ListParagraph"/>
        <w:numPr>
          <w:ilvl w:val="0"/>
          <w:numId w:val="5"/>
        </w:numPr>
        <w:rPr>
          <w:rFonts w:cstheme="minorHAnsi"/>
        </w:rPr>
      </w:pPr>
      <w:r>
        <w:rPr>
          <w:rFonts w:cstheme="minorHAnsi"/>
        </w:rPr>
        <w:t>How the impact will be evaluated</w:t>
      </w:r>
    </w:p>
    <w:p w14:paraId="1C690D40" w14:textId="77777777" w:rsidR="00BF75A3" w:rsidRDefault="00BF75A3">
      <w:pPr>
        <w:rPr>
          <w:rFonts w:cstheme="minorHAnsi"/>
        </w:rPr>
      </w:pPr>
    </w:p>
    <w:p w14:paraId="1C690D41" w14:textId="77777777" w:rsidR="00BF75A3" w:rsidRDefault="00BF75A3">
      <w:pPr>
        <w:rPr>
          <w:rFonts w:cstheme="minorHAnsi"/>
          <w:b/>
        </w:rPr>
      </w:pPr>
    </w:p>
    <w:p w14:paraId="1C690D42" w14:textId="77777777" w:rsidR="00BF75A3" w:rsidRDefault="00652B2B">
      <w:pPr>
        <w:spacing w:line="259" w:lineRule="auto"/>
        <w:ind w:right="-450"/>
        <w:rPr>
          <w:rFonts w:cstheme="minorHAnsi"/>
          <w:b/>
          <w:sz w:val="24"/>
          <w:u w:val="single"/>
        </w:rPr>
      </w:pPr>
      <w:r>
        <w:rPr>
          <w:rFonts w:cstheme="minorHAnsi"/>
          <w:b/>
          <w:sz w:val="24"/>
          <w:u w:val="single"/>
        </w:rPr>
        <w:lastRenderedPageBreak/>
        <w:t>Expenditure Plan 2019/20</w:t>
      </w:r>
    </w:p>
    <w:p w14:paraId="1C690D43" w14:textId="77777777" w:rsidR="00BF75A3" w:rsidRDefault="00652B2B">
      <w:pPr>
        <w:spacing w:line="259" w:lineRule="auto"/>
        <w:ind w:right="-450"/>
        <w:rPr>
          <w:rFonts w:cstheme="minorHAnsi"/>
          <w:b/>
        </w:rPr>
      </w:pPr>
      <w:r>
        <w:rPr>
          <w:rFonts w:cstheme="minorHAnsi"/>
          <w:b/>
        </w:rPr>
        <w:t>How we wi</w:t>
      </w:r>
      <w:r>
        <w:rPr>
          <w:rFonts w:cstheme="minorHAnsi"/>
          <w:b/>
        </w:rPr>
        <w:t>ll spend pupil premium in 2019/20</w:t>
      </w:r>
    </w:p>
    <w:p w14:paraId="1C690D44" w14:textId="77777777" w:rsidR="00BF75A3" w:rsidRDefault="00652B2B">
      <w:pPr>
        <w:spacing w:line="259" w:lineRule="auto"/>
        <w:ind w:right="-450"/>
        <w:rPr>
          <w:rFonts w:cstheme="minorHAnsi"/>
        </w:rPr>
      </w:pPr>
      <w:r>
        <w:rPr>
          <w:rFonts w:cstheme="minorHAnsi"/>
        </w:rPr>
        <w:t>In July 2019 the school was provisionally allocated funding of £91,630 for the academic year 2019/20 Our expenditure from Pupil Premium is monitored internally throughout the year and adapted in line with identified student need. Our overarching aim, howev</w:t>
      </w:r>
      <w:r>
        <w:rPr>
          <w:rFonts w:cstheme="minorHAnsi"/>
        </w:rPr>
        <w:t>er, is to utilise the funds to improve and support student attendance, well-being and attainment on the basis that if students do not attend or are not safe, healthy and happy then they will not achieve to their full potential. Although the initiatives bel</w:t>
      </w:r>
      <w:r>
        <w:rPr>
          <w:rFonts w:cstheme="minorHAnsi"/>
        </w:rPr>
        <w:t xml:space="preserve">ow are very similar to those used in previous years, it is important to note that they have been modified in line with our monitoring and evaluation activities. </w:t>
      </w:r>
    </w:p>
    <w:p w14:paraId="1C690D45" w14:textId="77777777" w:rsidR="00BF75A3" w:rsidRDefault="00652B2B">
      <w:pPr>
        <w:spacing w:line="259" w:lineRule="auto"/>
        <w:ind w:right="-450"/>
        <w:rPr>
          <w:rFonts w:cstheme="minorHAnsi"/>
          <w:b/>
        </w:rPr>
      </w:pPr>
      <w:r>
        <w:rPr>
          <w:rFonts w:cstheme="minorHAnsi"/>
          <w:b/>
        </w:rPr>
        <w:t>The following is a guide to how we propose to spend the Pupil Premium for 2019/20:</w:t>
      </w:r>
    </w:p>
    <w:p w14:paraId="1C690D46" w14:textId="77777777" w:rsidR="00BF75A3" w:rsidRDefault="00652B2B">
      <w:pPr>
        <w:spacing w:line="259" w:lineRule="auto"/>
        <w:ind w:right="-450"/>
        <w:rPr>
          <w:rFonts w:cstheme="minorHAnsi"/>
          <w:b/>
        </w:rPr>
      </w:pPr>
      <w:r>
        <w:rPr>
          <w:rFonts w:cstheme="minorHAnsi"/>
          <w:b/>
        </w:rPr>
        <w:t xml:space="preserve">1. Closing </w:t>
      </w:r>
      <w:r>
        <w:rPr>
          <w:rFonts w:cstheme="minorHAnsi"/>
          <w:b/>
        </w:rPr>
        <w:t>the Gap on Attendance £10,000</w:t>
      </w:r>
    </w:p>
    <w:p w14:paraId="1C690D47" w14:textId="77777777" w:rsidR="00BF75A3" w:rsidRDefault="00652B2B">
      <w:pPr>
        <w:spacing w:line="259" w:lineRule="auto"/>
        <w:ind w:right="-450"/>
        <w:rPr>
          <w:rFonts w:cstheme="minorHAnsi"/>
        </w:rPr>
      </w:pPr>
      <w:r>
        <w:rPr>
          <w:rFonts w:cstheme="minorHAnsi"/>
        </w:rPr>
        <w:t>We will continue to work to close the gap between the attendance of Disadvantaged and Non-Disadvantaged students by allocating a proportion of the funding to the Attendance Officer’s Salary. This will involve approximately 50%</w:t>
      </w:r>
      <w:r>
        <w:rPr>
          <w:rFonts w:cstheme="minorHAnsi"/>
        </w:rPr>
        <w:t xml:space="preserve"> of the attendance officer’s time as in addition to attendance this member of staff will mentor Pupil Premium pupils whose attendance is of concern and will also support the wellbeing of the vulnerable and disadvantaged pupils by organising sessions and li</w:t>
      </w:r>
      <w:r>
        <w:rPr>
          <w:rFonts w:cstheme="minorHAnsi"/>
        </w:rPr>
        <w:t>aising with parents and external agencies such as the School Counsellor and Educational Psychologist (approx. 50% with the rationale that 12% of our student population is disadvantaged but will, because of their needs, take up approximately 50% of the Atte</w:t>
      </w:r>
      <w:r>
        <w:rPr>
          <w:rFonts w:cstheme="minorHAnsi"/>
        </w:rPr>
        <w:t>ndance Officer’s time).</w:t>
      </w:r>
    </w:p>
    <w:p w14:paraId="1C690D48" w14:textId="77777777" w:rsidR="00BF75A3" w:rsidRDefault="00652B2B">
      <w:pPr>
        <w:spacing w:line="259" w:lineRule="auto"/>
        <w:ind w:right="-450"/>
        <w:rPr>
          <w:rFonts w:cstheme="minorHAnsi"/>
          <w:b/>
        </w:rPr>
      </w:pPr>
      <w:r>
        <w:rPr>
          <w:rFonts w:cstheme="minorHAnsi"/>
          <w:b/>
        </w:rPr>
        <w:t>2. Pupil Progress and Intervention Tracking £10,000</w:t>
      </w:r>
    </w:p>
    <w:p w14:paraId="1C690D49" w14:textId="77777777" w:rsidR="00BF75A3" w:rsidRDefault="00652B2B">
      <w:pPr>
        <w:spacing w:line="259" w:lineRule="auto"/>
        <w:ind w:right="-450"/>
        <w:rPr>
          <w:rFonts w:cstheme="minorHAnsi"/>
        </w:rPr>
      </w:pPr>
      <w:r>
        <w:rPr>
          <w:rFonts w:cstheme="minorHAnsi"/>
        </w:rPr>
        <w:t>A proportion of the Pupil Premium funding will be spent on developing a more effective system for tracking the progress, interventions and allocation of funding to disadvantaged st</w:t>
      </w:r>
      <w:r>
        <w:rPr>
          <w:rFonts w:cstheme="minorHAnsi"/>
        </w:rPr>
        <w:t>udents. This will be developed by the Student Data and Transport Co-Ordinator.</w:t>
      </w:r>
    </w:p>
    <w:p w14:paraId="1C690D4A" w14:textId="77777777" w:rsidR="00BF75A3" w:rsidRDefault="00652B2B">
      <w:pPr>
        <w:spacing w:line="259" w:lineRule="auto"/>
        <w:ind w:right="-450"/>
        <w:rPr>
          <w:rFonts w:cstheme="minorHAnsi"/>
          <w:b/>
        </w:rPr>
      </w:pPr>
      <w:r>
        <w:rPr>
          <w:rFonts w:cstheme="minorHAnsi"/>
          <w:b/>
        </w:rPr>
        <w:t>3. Whole-school intervention strategy £10,000</w:t>
      </w:r>
    </w:p>
    <w:p w14:paraId="1C690D4B" w14:textId="77777777" w:rsidR="00BF75A3" w:rsidRDefault="00652B2B">
      <w:pPr>
        <w:spacing w:line="259" w:lineRule="auto"/>
        <w:ind w:right="-450"/>
        <w:rPr>
          <w:rFonts w:cstheme="minorHAnsi"/>
        </w:rPr>
      </w:pPr>
      <w:r>
        <w:rPr>
          <w:rFonts w:cstheme="minorHAnsi"/>
        </w:rPr>
        <w:t>The appointment of an Assistant Principal with strategic and Operational responsibility for disadvantaged students from September 2</w:t>
      </w:r>
      <w:r>
        <w:rPr>
          <w:rFonts w:cstheme="minorHAnsi"/>
        </w:rPr>
        <w:t>019 is planned. As such a proportion of Pupil Premium funding will be spent on her salary to enable all pupils, but particularly those who are disadvantaged and vulnerable to make progress in line with their non-disadvantaged peers.</w:t>
      </w:r>
    </w:p>
    <w:p w14:paraId="1C690D4C" w14:textId="77777777" w:rsidR="00BF75A3" w:rsidRDefault="00652B2B">
      <w:pPr>
        <w:spacing w:line="259" w:lineRule="auto"/>
        <w:ind w:right="-450"/>
        <w:rPr>
          <w:rFonts w:cstheme="minorHAnsi"/>
          <w:b/>
        </w:rPr>
      </w:pPr>
      <w:r>
        <w:rPr>
          <w:rFonts w:cstheme="minorHAnsi"/>
          <w:b/>
        </w:rPr>
        <w:t xml:space="preserve">4. Careers Information </w:t>
      </w:r>
      <w:r>
        <w:rPr>
          <w:rFonts w:cstheme="minorHAnsi"/>
          <w:b/>
        </w:rPr>
        <w:t>Advice and Guidance £5,000</w:t>
      </w:r>
    </w:p>
    <w:p w14:paraId="1C690D4D" w14:textId="77777777" w:rsidR="00BF75A3" w:rsidRDefault="00652B2B">
      <w:pPr>
        <w:spacing w:line="259" w:lineRule="auto"/>
        <w:ind w:right="-450"/>
        <w:rPr>
          <w:rFonts w:cstheme="minorHAnsi"/>
        </w:rPr>
      </w:pPr>
      <w:r>
        <w:rPr>
          <w:rFonts w:cstheme="minorHAnsi"/>
        </w:rPr>
        <w:t>To build upon our success of ensuring that 100% of disadvantaged students secure an appropriate Post-16 destination we will increase the CIAG advice provided to disadvantaged students in line with individual requirements. This wi</w:t>
      </w:r>
      <w:r>
        <w:rPr>
          <w:rFonts w:cstheme="minorHAnsi"/>
        </w:rPr>
        <w:t>ll be delivered in-house by the school’s Level 6 qualified Careers Advisor.</w:t>
      </w:r>
    </w:p>
    <w:p w14:paraId="1C690D4E" w14:textId="77777777" w:rsidR="00BF75A3" w:rsidRDefault="00652B2B">
      <w:pPr>
        <w:spacing w:line="259" w:lineRule="auto"/>
        <w:ind w:right="-450"/>
        <w:rPr>
          <w:rFonts w:cstheme="minorHAnsi"/>
          <w:b/>
        </w:rPr>
      </w:pPr>
      <w:r>
        <w:rPr>
          <w:rFonts w:cstheme="minorHAnsi"/>
          <w:b/>
        </w:rPr>
        <w:t>5. Alternative Curriculum £4,000</w:t>
      </w:r>
    </w:p>
    <w:p w14:paraId="1C690D4F" w14:textId="77777777" w:rsidR="00BF75A3" w:rsidRDefault="00652B2B">
      <w:pPr>
        <w:spacing w:line="259" w:lineRule="auto"/>
        <w:ind w:right="-450"/>
        <w:rPr>
          <w:rFonts w:cstheme="minorHAnsi"/>
        </w:rPr>
      </w:pPr>
      <w:r>
        <w:rPr>
          <w:rFonts w:cstheme="minorHAnsi"/>
        </w:rPr>
        <w:t>Available for KS4 students to pursue an alternative curriculum. We are currently budgeting for participation for up to 2 pupils.</w:t>
      </w:r>
    </w:p>
    <w:p w14:paraId="1C690D50" w14:textId="77777777" w:rsidR="00BF75A3" w:rsidRDefault="00652B2B">
      <w:pPr>
        <w:spacing w:line="259" w:lineRule="auto"/>
        <w:ind w:right="-450"/>
        <w:rPr>
          <w:rFonts w:cstheme="minorHAnsi"/>
          <w:b/>
        </w:rPr>
      </w:pPr>
      <w:r>
        <w:rPr>
          <w:rFonts w:cstheme="minorHAnsi"/>
          <w:b/>
        </w:rPr>
        <w:br/>
      </w:r>
    </w:p>
    <w:p w14:paraId="1C690D51" w14:textId="77777777" w:rsidR="00BF75A3" w:rsidRDefault="00652B2B">
      <w:pPr>
        <w:spacing w:line="259" w:lineRule="auto"/>
        <w:ind w:right="-450"/>
        <w:rPr>
          <w:rFonts w:cstheme="minorHAnsi"/>
          <w:b/>
        </w:rPr>
      </w:pPr>
      <w:r>
        <w:rPr>
          <w:rFonts w:cstheme="minorHAnsi"/>
          <w:b/>
        </w:rPr>
        <w:lastRenderedPageBreak/>
        <w:t>6. Nurture Group</w:t>
      </w:r>
      <w:r>
        <w:rPr>
          <w:rFonts w:cstheme="minorHAnsi"/>
          <w:b/>
        </w:rPr>
        <w:t xml:space="preserve"> £25,000</w:t>
      </w:r>
    </w:p>
    <w:p w14:paraId="1C690D52" w14:textId="77777777" w:rsidR="00BF75A3" w:rsidRDefault="00652B2B">
      <w:pPr>
        <w:spacing w:line="259" w:lineRule="auto"/>
        <w:ind w:right="-450"/>
        <w:rPr>
          <w:rFonts w:cstheme="minorHAnsi"/>
        </w:rPr>
      </w:pPr>
      <w:r>
        <w:rPr>
          <w:rFonts w:cstheme="minorHAnsi"/>
        </w:rPr>
        <w:t>Due to the increasing need of disadvantaged and vulnerable pupils, funding will be spent on the maintenance of a 7th smaller teaching group in Years 7 – 9 to enable pupils in all 7 teaching groups to receive the necessary intervention to enable th</w:t>
      </w:r>
      <w:r>
        <w:rPr>
          <w:rFonts w:cstheme="minorHAnsi"/>
        </w:rPr>
        <w:t>em to achieve to their full potential. This will necessitate the appointment of an additional teacher and the allocation of Teaching Assistants to support Pupil Premium and vulnerable pupils.</w:t>
      </w:r>
    </w:p>
    <w:p w14:paraId="1C690D53" w14:textId="77777777" w:rsidR="00BF75A3" w:rsidRDefault="00652B2B">
      <w:pPr>
        <w:spacing w:line="259" w:lineRule="auto"/>
        <w:ind w:right="-450"/>
        <w:rPr>
          <w:rFonts w:cstheme="minorHAnsi"/>
          <w:b/>
        </w:rPr>
      </w:pPr>
      <w:r>
        <w:rPr>
          <w:rFonts w:cstheme="minorHAnsi"/>
          <w:b/>
        </w:rPr>
        <w:t>7. Education Psychology Support £8,500</w:t>
      </w:r>
    </w:p>
    <w:p w14:paraId="1C690D54" w14:textId="77777777" w:rsidR="00BF75A3" w:rsidRDefault="00652B2B">
      <w:pPr>
        <w:spacing w:line="259" w:lineRule="auto"/>
        <w:ind w:right="-450"/>
        <w:rPr>
          <w:rFonts w:cstheme="minorHAnsi"/>
        </w:rPr>
      </w:pPr>
      <w:r>
        <w:rPr>
          <w:rFonts w:cstheme="minorHAnsi"/>
        </w:rPr>
        <w:t>To target PP students who</w:t>
      </w:r>
      <w:r>
        <w:rPr>
          <w:rFonts w:cstheme="minorHAnsi"/>
        </w:rPr>
        <w:t xml:space="preserve"> need this service.</w:t>
      </w:r>
    </w:p>
    <w:p w14:paraId="1C690D55" w14:textId="77777777" w:rsidR="00BF75A3" w:rsidRDefault="00652B2B">
      <w:pPr>
        <w:spacing w:line="259" w:lineRule="auto"/>
        <w:ind w:right="-450"/>
        <w:rPr>
          <w:rFonts w:cstheme="minorHAnsi"/>
          <w:b/>
        </w:rPr>
      </w:pPr>
      <w:r>
        <w:rPr>
          <w:rFonts w:cstheme="minorHAnsi"/>
          <w:b/>
        </w:rPr>
        <w:t>8. School Counsellor £2,500</w:t>
      </w:r>
    </w:p>
    <w:p w14:paraId="1C690D56" w14:textId="77777777" w:rsidR="00BF75A3" w:rsidRDefault="00652B2B">
      <w:pPr>
        <w:spacing w:line="259" w:lineRule="auto"/>
        <w:ind w:right="-450"/>
        <w:rPr>
          <w:rFonts w:cstheme="minorHAnsi"/>
        </w:rPr>
      </w:pPr>
      <w:r>
        <w:rPr>
          <w:rFonts w:cstheme="minorHAnsi"/>
        </w:rPr>
        <w:t>To target PP students who need this service.</w:t>
      </w:r>
    </w:p>
    <w:p w14:paraId="1C690D57" w14:textId="77777777" w:rsidR="00BF75A3" w:rsidRDefault="00652B2B">
      <w:pPr>
        <w:spacing w:line="259" w:lineRule="auto"/>
        <w:ind w:right="-450"/>
        <w:rPr>
          <w:rFonts w:cstheme="minorHAnsi"/>
          <w:color w:val="FF0000"/>
        </w:rPr>
      </w:pPr>
      <w:r>
        <w:rPr>
          <w:rFonts w:cstheme="minorHAnsi"/>
          <w:color w:val="FF0000"/>
        </w:rPr>
        <w:t>(Expenditure above already accounted for in the whole-school budget: Total: £75, 000)</w:t>
      </w:r>
    </w:p>
    <w:p w14:paraId="1C690D58" w14:textId="77777777" w:rsidR="00BF75A3" w:rsidRDefault="00BF75A3">
      <w:pPr>
        <w:spacing w:line="259" w:lineRule="auto"/>
        <w:ind w:right="-450"/>
        <w:rPr>
          <w:rFonts w:cstheme="minorHAnsi"/>
          <w:color w:val="00B050"/>
        </w:rPr>
      </w:pPr>
    </w:p>
    <w:p w14:paraId="1C690D59" w14:textId="77777777" w:rsidR="00BF75A3" w:rsidRDefault="00652B2B">
      <w:pPr>
        <w:spacing w:line="259" w:lineRule="auto"/>
        <w:ind w:right="-450"/>
        <w:rPr>
          <w:rFonts w:cstheme="minorHAnsi"/>
          <w:color w:val="00B050"/>
        </w:rPr>
      </w:pPr>
      <w:r>
        <w:rPr>
          <w:rFonts w:cstheme="minorHAnsi"/>
          <w:color w:val="00B050"/>
        </w:rPr>
        <w:t>(Remaining balance below totals £16,630) to be spent as follows: £16,630)</w:t>
      </w:r>
    </w:p>
    <w:p w14:paraId="1C690D5A" w14:textId="77777777" w:rsidR="00BF75A3" w:rsidRDefault="00652B2B">
      <w:pPr>
        <w:spacing w:line="259" w:lineRule="auto"/>
        <w:ind w:right="-450"/>
        <w:rPr>
          <w:rFonts w:cstheme="minorHAnsi"/>
          <w:b/>
        </w:rPr>
      </w:pPr>
      <w:r>
        <w:rPr>
          <w:rFonts w:cstheme="minorHAnsi"/>
          <w:b/>
        </w:rPr>
        <w:t>9.</w:t>
      </w:r>
      <w:r>
        <w:rPr>
          <w:rFonts w:cstheme="minorHAnsi"/>
          <w:b/>
        </w:rPr>
        <w:t xml:space="preserve"> Enrichment opportunities £4,000</w:t>
      </w:r>
    </w:p>
    <w:p w14:paraId="1C690D5B" w14:textId="77777777" w:rsidR="00BF75A3" w:rsidRDefault="00652B2B">
      <w:pPr>
        <w:spacing w:line="259" w:lineRule="auto"/>
        <w:ind w:right="-450"/>
        <w:rPr>
          <w:rFonts w:cstheme="minorHAnsi"/>
        </w:rPr>
      </w:pPr>
      <w:r>
        <w:rPr>
          <w:rFonts w:cstheme="minorHAnsi"/>
        </w:rPr>
        <w:t>Funding will be made available to ensure that vulnerable and targeted students can participate fully in all curricular and extracurricular activities.</w:t>
      </w:r>
    </w:p>
    <w:p w14:paraId="1C690D5C" w14:textId="77777777" w:rsidR="00BF75A3" w:rsidRDefault="00652B2B">
      <w:pPr>
        <w:spacing w:line="259" w:lineRule="auto"/>
        <w:ind w:right="-450"/>
        <w:rPr>
          <w:rFonts w:cstheme="minorHAnsi"/>
          <w:b/>
        </w:rPr>
      </w:pPr>
      <w:r>
        <w:rPr>
          <w:rFonts w:cstheme="minorHAnsi"/>
          <w:b/>
        </w:rPr>
        <w:t>10. Support with uniform for PP Students £3,000</w:t>
      </w:r>
    </w:p>
    <w:p w14:paraId="1C690D5D" w14:textId="77777777" w:rsidR="00BF75A3" w:rsidRDefault="00652B2B">
      <w:pPr>
        <w:spacing w:line="259" w:lineRule="auto"/>
        <w:ind w:right="-450"/>
        <w:rPr>
          <w:rFonts w:cstheme="minorHAnsi"/>
        </w:rPr>
      </w:pPr>
      <w:r>
        <w:rPr>
          <w:rFonts w:cstheme="minorHAnsi"/>
        </w:rPr>
        <w:t xml:space="preserve">Funding up to a maximum </w:t>
      </w:r>
      <w:r>
        <w:rPr>
          <w:rFonts w:cstheme="minorHAnsi"/>
        </w:rPr>
        <w:t>of £25.00 per pupil will be available on application to support with the purchase of school uniform.</w:t>
      </w:r>
    </w:p>
    <w:p w14:paraId="1C690D5E" w14:textId="77777777" w:rsidR="00BF75A3" w:rsidRDefault="00652B2B">
      <w:pPr>
        <w:spacing w:line="259" w:lineRule="auto"/>
        <w:ind w:right="-450"/>
        <w:rPr>
          <w:rFonts w:cstheme="minorHAnsi"/>
          <w:b/>
        </w:rPr>
      </w:pPr>
      <w:r>
        <w:rPr>
          <w:rFonts w:cstheme="minorHAnsi"/>
          <w:b/>
        </w:rPr>
        <w:t>11. Funding for Other Initiatives £9,630</w:t>
      </w:r>
    </w:p>
    <w:p w14:paraId="1C690D5F" w14:textId="77777777" w:rsidR="00BF75A3" w:rsidRDefault="00652B2B">
      <w:pPr>
        <w:spacing w:line="259" w:lineRule="auto"/>
        <w:ind w:right="-450"/>
        <w:rPr>
          <w:rFonts w:cstheme="minorHAnsi"/>
        </w:rPr>
      </w:pPr>
      <w:r>
        <w:rPr>
          <w:rFonts w:cstheme="minorHAnsi"/>
        </w:rPr>
        <w:t>Funding will be available for subject areas when needs have been identified. Staff will be invited to make bids fo</w:t>
      </w:r>
      <w:r>
        <w:rPr>
          <w:rFonts w:cstheme="minorHAnsi"/>
        </w:rPr>
        <w:t>r strategies/initiatives which will have an impact on the progress and development of disadvantaged students</w:t>
      </w:r>
    </w:p>
    <w:p w14:paraId="1C690D60" w14:textId="77777777" w:rsidR="00BF75A3" w:rsidRDefault="00652B2B">
      <w:pPr>
        <w:spacing w:line="259" w:lineRule="auto"/>
        <w:ind w:right="-450"/>
        <w:rPr>
          <w:rFonts w:cstheme="minorHAnsi"/>
          <w:b/>
        </w:rPr>
      </w:pPr>
      <w:r>
        <w:rPr>
          <w:rFonts w:cstheme="minorHAnsi"/>
          <w:b/>
        </w:rPr>
        <w:t>TOTAL: £91,630</w:t>
      </w:r>
    </w:p>
    <w:p w14:paraId="1C690D61" w14:textId="77777777" w:rsidR="00BF75A3" w:rsidRDefault="00BF75A3">
      <w:pPr>
        <w:rPr>
          <w:rFonts w:cstheme="minorHAnsi"/>
          <w:b/>
        </w:rPr>
      </w:pPr>
    </w:p>
    <w:p w14:paraId="1C690D62" w14:textId="77777777" w:rsidR="00BF75A3" w:rsidRDefault="00BF75A3">
      <w:pPr>
        <w:rPr>
          <w:rFonts w:cstheme="minorHAnsi"/>
          <w:b/>
        </w:rPr>
      </w:pPr>
    </w:p>
    <w:p w14:paraId="1C690D63" w14:textId="77777777" w:rsidR="00BF75A3" w:rsidRDefault="00BF75A3">
      <w:pPr>
        <w:rPr>
          <w:rFonts w:cstheme="minorHAnsi"/>
          <w:b/>
        </w:rPr>
      </w:pPr>
    </w:p>
    <w:p w14:paraId="1C690D64" w14:textId="77777777" w:rsidR="00BF75A3" w:rsidRDefault="00BF75A3">
      <w:pPr>
        <w:rPr>
          <w:rFonts w:cstheme="minorHAnsi"/>
          <w:b/>
        </w:rPr>
      </w:pPr>
    </w:p>
    <w:p w14:paraId="1C690D65" w14:textId="77777777" w:rsidR="00BF75A3" w:rsidRDefault="00BF75A3">
      <w:pPr>
        <w:rPr>
          <w:rFonts w:cstheme="minorHAnsi"/>
          <w:b/>
        </w:rPr>
      </w:pPr>
    </w:p>
    <w:p w14:paraId="1C690D66" w14:textId="77777777" w:rsidR="00BF75A3" w:rsidRDefault="00BF75A3">
      <w:pPr>
        <w:rPr>
          <w:rFonts w:cstheme="minorHAnsi"/>
          <w:b/>
        </w:rPr>
      </w:pPr>
    </w:p>
    <w:p w14:paraId="1C690D67" w14:textId="77777777" w:rsidR="00BF75A3" w:rsidRDefault="00BF75A3">
      <w:pPr>
        <w:rPr>
          <w:rFonts w:cstheme="minorHAnsi"/>
          <w:b/>
        </w:rPr>
      </w:pPr>
    </w:p>
    <w:p w14:paraId="1C690D68" w14:textId="77777777" w:rsidR="00BF75A3" w:rsidRDefault="00BF75A3">
      <w:pPr>
        <w:rPr>
          <w:rFonts w:cstheme="minorHAnsi"/>
          <w:b/>
        </w:rPr>
      </w:pPr>
    </w:p>
    <w:p w14:paraId="1C690D6D" w14:textId="77777777" w:rsidR="00BF75A3" w:rsidRDefault="00652B2B">
      <w:pPr>
        <w:rPr>
          <w:rFonts w:cstheme="minorHAnsi"/>
          <w:b/>
          <w:sz w:val="24"/>
          <w:szCs w:val="24"/>
        </w:rPr>
      </w:pPr>
      <w:r>
        <w:rPr>
          <w:rFonts w:cstheme="minorHAnsi"/>
          <w:b/>
          <w:sz w:val="24"/>
          <w:szCs w:val="24"/>
        </w:rPr>
        <w:lastRenderedPageBreak/>
        <w:t>IMPACT REPORT – PUPIL PROGRESS</w:t>
      </w:r>
    </w:p>
    <w:p w14:paraId="1C690D6E" w14:textId="77777777" w:rsidR="00BF75A3" w:rsidRDefault="00652B2B">
      <w:pPr>
        <w:rPr>
          <w:rFonts w:cstheme="minorHAnsi"/>
          <w:b/>
          <w:sz w:val="28"/>
          <w:szCs w:val="28"/>
          <w:u w:val="single"/>
        </w:rPr>
      </w:pPr>
      <w:r>
        <w:rPr>
          <w:rFonts w:cstheme="minorHAnsi"/>
          <w:b/>
          <w:sz w:val="28"/>
          <w:szCs w:val="28"/>
          <w:u w:val="single"/>
        </w:rPr>
        <w:t>Report on the Progress of Disadvantaged Pupils: August 2020</w:t>
      </w:r>
    </w:p>
    <w:p w14:paraId="1C690D6F" w14:textId="77777777" w:rsidR="00BF75A3" w:rsidRDefault="00652B2B">
      <w:pPr>
        <w:rPr>
          <w:rFonts w:cstheme="minorHAnsi"/>
          <w:b/>
          <w:sz w:val="28"/>
          <w:szCs w:val="28"/>
          <w:u w:val="single"/>
        </w:rPr>
      </w:pPr>
      <w:r>
        <w:rPr>
          <w:rFonts w:cstheme="minorHAnsi"/>
          <w:b/>
          <w:sz w:val="28"/>
          <w:szCs w:val="28"/>
          <w:u w:val="single"/>
        </w:rPr>
        <w:t xml:space="preserve">Year 11 </w:t>
      </w:r>
    </w:p>
    <w:tbl>
      <w:tblPr>
        <w:tblStyle w:val="TableGrid"/>
        <w:tblpPr w:leftFromText="180" w:rightFromText="180" w:vertAnchor="text" w:horzAnchor="margin" w:tblpXSpec="center" w:tblpY="283"/>
        <w:tblW w:w="10733" w:type="dxa"/>
        <w:tblLayout w:type="fixed"/>
        <w:tblLook w:val="04A0" w:firstRow="1" w:lastRow="0" w:firstColumn="1" w:lastColumn="0" w:noHBand="0" w:noVBand="1"/>
      </w:tblPr>
      <w:tblGrid>
        <w:gridCol w:w="1271"/>
        <w:gridCol w:w="1276"/>
        <w:gridCol w:w="1378"/>
        <w:gridCol w:w="1599"/>
        <w:gridCol w:w="1455"/>
        <w:gridCol w:w="1096"/>
        <w:gridCol w:w="992"/>
        <w:gridCol w:w="851"/>
        <w:gridCol w:w="815"/>
      </w:tblGrid>
      <w:tr w:rsidR="00BF75A3" w14:paraId="1C690D7F" w14:textId="77777777">
        <w:trPr>
          <w:trHeight w:val="1692"/>
        </w:trPr>
        <w:tc>
          <w:tcPr>
            <w:tcW w:w="1271" w:type="dxa"/>
            <w:vAlign w:val="center"/>
          </w:tcPr>
          <w:p w14:paraId="1C690D70" w14:textId="77777777" w:rsidR="00BF75A3" w:rsidRDefault="00652B2B">
            <w:pPr>
              <w:jc w:val="center"/>
              <w:rPr>
                <w:rFonts w:ascii="Calibri" w:hAnsi="Calibri"/>
                <w:b/>
                <w:sz w:val="20"/>
                <w:u w:val="single"/>
              </w:rPr>
            </w:pPr>
            <w:r>
              <w:rPr>
                <w:rFonts w:ascii="Calibri" w:hAnsi="Calibri"/>
                <w:b/>
                <w:sz w:val="20"/>
                <w:u w:val="single"/>
              </w:rPr>
              <w:t>Date/</w:t>
            </w:r>
          </w:p>
          <w:p w14:paraId="1C690D71" w14:textId="77777777" w:rsidR="00BF75A3" w:rsidRDefault="00652B2B">
            <w:pPr>
              <w:jc w:val="center"/>
              <w:rPr>
                <w:rFonts w:ascii="Calibri" w:hAnsi="Calibri"/>
                <w:b/>
                <w:sz w:val="20"/>
                <w:u w:val="single"/>
              </w:rPr>
            </w:pPr>
            <w:r>
              <w:rPr>
                <w:rFonts w:ascii="Calibri" w:hAnsi="Calibri"/>
                <w:b/>
                <w:sz w:val="20"/>
                <w:u w:val="single"/>
              </w:rPr>
              <w:t>Year</w:t>
            </w:r>
          </w:p>
        </w:tc>
        <w:tc>
          <w:tcPr>
            <w:tcW w:w="1276" w:type="dxa"/>
            <w:vAlign w:val="center"/>
          </w:tcPr>
          <w:p w14:paraId="1C690D72" w14:textId="77777777" w:rsidR="00BF75A3" w:rsidRDefault="00652B2B">
            <w:pPr>
              <w:jc w:val="center"/>
              <w:rPr>
                <w:rFonts w:ascii="Calibri" w:hAnsi="Calibri"/>
                <w:b/>
                <w:sz w:val="20"/>
                <w:u w:val="single"/>
              </w:rPr>
            </w:pPr>
            <w:r>
              <w:rPr>
                <w:rFonts w:ascii="Calibri" w:hAnsi="Calibri"/>
                <w:b/>
                <w:sz w:val="20"/>
                <w:u w:val="single"/>
              </w:rPr>
              <w:t>Disadvantaged Cohort Size</w:t>
            </w:r>
          </w:p>
        </w:tc>
        <w:tc>
          <w:tcPr>
            <w:tcW w:w="1378" w:type="dxa"/>
            <w:vAlign w:val="center"/>
          </w:tcPr>
          <w:p w14:paraId="1C690D73" w14:textId="77777777" w:rsidR="00BF75A3" w:rsidRDefault="00652B2B">
            <w:pPr>
              <w:jc w:val="center"/>
              <w:rPr>
                <w:rFonts w:ascii="Calibri" w:hAnsi="Calibri"/>
                <w:b/>
                <w:bCs/>
                <w:sz w:val="20"/>
                <w:szCs w:val="20"/>
                <w:u w:val="single"/>
              </w:rPr>
            </w:pPr>
            <w:r>
              <w:rPr>
                <w:rFonts w:ascii="Calibri" w:hAnsi="Calibri"/>
                <w:b/>
                <w:bCs/>
                <w:sz w:val="20"/>
                <w:szCs w:val="20"/>
                <w:u w:val="single"/>
              </w:rPr>
              <w:t>P8 Total Whole Cohort</w:t>
            </w:r>
          </w:p>
        </w:tc>
        <w:tc>
          <w:tcPr>
            <w:tcW w:w="1599" w:type="dxa"/>
            <w:vAlign w:val="center"/>
          </w:tcPr>
          <w:p w14:paraId="1C690D74" w14:textId="77777777" w:rsidR="00BF75A3" w:rsidRDefault="00652B2B">
            <w:pPr>
              <w:jc w:val="center"/>
              <w:rPr>
                <w:rFonts w:ascii="Calibri" w:hAnsi="Calibri"/>
                <w:b/>
                <w:bCs/>
                <w:sz w:val="20"/>
                <w:szCs w:val="20"/>
                <w:u w:val="single"/>
              </w:rPr>
            </w:pPr>
            <w:r>
              <w:rPr>
                <w:rFonts w:ascii="Calibri" w:hAnsi="Calibri"/>
                <w:b/>
                <w:bCs/>
                <w:sz w:val="20"/>
                <w:szCs w:val="20"/>
                <w:u w:val="single"/>
              </w:rPr>
              <w:t>P8 Non-Disadvantaged</w:t>
            </w:r>
          </w:p>
        </w:tc>
        <w:tc>
          <w:tcPr>
            <w:tcW w:w="1455" w:type="dxa"/>
            <w:vAlign w:val="center"/>
          </w:tcPr>
          <w:p w14:paraId="1C690D75" w14:textId="77777777" w:rsidR="00BF75A3" w:rsidRDefault="00652B2B">
            <w:pPr>
              <w:jc w:val="center"/>
              <w:rPr>
                <w:rFonts w:ascii="Calibri" w:hAnsi="Calibri"/>
                <w:b/>
                <w:bCs/>
                <w:sz w:val="20"/>
                <w:szCs w:val="20"/>
                <w:u w:val="single"/>
              </w:rPr>
            </w:pPr>
            <w:r>
              <w:rPr>
                <w:rFonts w:ascii="Calibri" w:hAnsi="Calibri"/>
                <w:b/>
                <w:bCs/>
                <w:sz w:val="20"/>
                <w:szCs w:val="20"/>
                <w:u w:val="single"/>
              </w:rPr>
              <w:t>P8 Disadvantaged</w:t>
            </w:r>
          </w:p>
        </w:tc>
        <w:tc>
          <w:tcPr>
            <w:tcW w:w="1096" w:type="dxa"/>
            <w:vAlign w:val="center"/>
          </w:tcPr>
          <w:p w14:paraId="1C690D76" w14:textId="77777777" w:rsidR="00BF75A3" w:rsidRDefault="00652B2B">
            <w:pPr>
              <w:jc w:val="center"/>
              <w:rPr>
                <w:rFonts w:ascii="Calibri" w:hAnsi="Calibri"/>
                <w:b/>
                <w:sz w:val="20"/>
                <w:u w:val="single"/>
              </w:rPr>
            </w:pPr>
            <w:r>
              <w:rPr>
                <w:rFonts w:ascii="Calibri" w:hAnsi="Calibri"/>
                <w:b/>
                <w:sz w:val="20"/>
                <w:u w:val="single"/>
              </w:rPr>
              <w:t xml:space="preserve">VA Gap </w:t>
            </w:r>
          </w:p>
        </w:tc>
        <w:tc>
          <w:tcPr>
            <w:tcW w:w="992" w:type="dxa"/>
            <w:vAlign w:val="center"/>
          </w:tcPr>
          <w:p w14:paraId="1C690D77" w14:textId="77777777" w:rsidR="00BF75A3" w:rsidRDefault="00652B2B">
            <w:pPr>
              <w:jc w:val="center"/>
              <w:rPr>
                <w:rFonts w:ascii="Calibri" w:hAnsi="Calibri"/>
                <w:b/>
                <w:sz w:val="18"/>
                <w:szCs w:val="18"/>
                <w:u w:val="single"/>
              </w:rPr>
            </w:pPr>
            <w:r>
              <w:rPr>
                <w:rFonts w:ascii="Calibri" w:hAnsi="Calibri"/>
                <w:b/>
                <w:sz w:val="18"/>
                <w:szCs w:val="18"/>
                <w:u w:val="single"/>
              </w:rPr>
              <w:t>VA Upper Band</w:t>
            </w:r>
          </w:p>
          <w:p w14:paraId="1C690D78" w14:textId="77777777" w:rsidR="00BF75A3" w:rsidRDefault="00652B2B">
            <w:pPr>
              <w:jc w:val="center"/>
              <w:rPr>
                <w:rFonts w:ascii="Calibri" w:hAnsi="Calibri"/>
                <w:b/>
                <w:sz w:val="18"/>
                <w:szCs w:val="18"/>
                <w:u w:val="single"/>
              </w:rPr>
            </w:pPr>
            <w:r>
              <w:rPr>
                <w:rFonts w:ascii="Calibri" w:hAnsi="Calibri"/>
                <w:b/>
                <w:sz w:val="18"/>
                <w:szCs w:val="18"/>
                <w:u w:val="single"/>
              </w:rPr>
              <w:t>Disadvantaged</w:t>
            </w:r>
          </w:p>
          <w:p w14:paraId="1C690D79" w14:textId="77777777" w:rsidR="00BF75A3" w:rsidRDefault="00652B2B">
            <w:pPr>
              <w:jc w:val="center"/>
              <w:rPr>
                <w:rFonts w:ascii="Calibri" w:hAnsi="Calibri"/>
                <w:b/>
                <w:bCs/>
                <w:u w:val="single"/>
              </w:rPr>
            </w:pPr>
            <w:r>
              <w:rPr>
                <w:rFonts w:ascii="Calibri" w:hAnsi="Calibri"/>
                <w:b/>
                <w:bCs/>
                <w:sz w:val="18"/>
                <w:szCs w:val="18"/>
                <w:u w:val="single"/>
              </w:rPr>
              <w:t>(9 pupils)</w:t>
            </w:r>
          </w:p>
        </w:tc>
        <w:tc>
          <w:tcPr>
            <w:tcW w:w="851" w:type="dxa"/>
            <w:vAlign w:val="center"/>
          </w:tcPr>
          <w:p w14:paraId="1C690D7A" w14:textId="77777777" w:rsidR="00BF75A3" w:rsidRDefault="00652B2B">
            <w:pPr>
              <w:jc w:val="center"/>
              <w:rPr>
                <w:rFonts w:ascii="Calibri" w:hAnsi="Calibri"/>
                <w:b/>
                <w:sz w:val="18"/>
                <w:szCs w:val="18"/>
                <w:u w:val="single"/>
              </w:rPr>
            </w:pPr>
            <w:r>
              <w:rPr>
                <w:rFonts w:ascii="Calibri" w:hAnsi="Calibri"/>
                <w:b/>
                <w:sz w:val="18"/>
                <w:szCs w:val="18"/>
                <w:u w:val="single"/>
              </w:rPr>
              <w:t>VA Middle Band</w:t>
            </w:r>
          </w:p>
          <w:p w14:paraId="1C690D7B" w14:textId="77777777" w:rsidR="00BF75A3" w:rsidRDefault="00652B2B">
            <w:pPr>
              <w:jc w:val="center"/>
              <w:rPr>
                <w:rFonts w:ascii="Calibri" w:hAnsi="Calibri"/>
                <w:b/>
                <w:sz w:val="18"/>
                <w:szCs w:val="18"/>
                <w:u w:val="single"/>
              </w:rPr>
            </w:pPr>
            <w:r>
              <w:rPr>
                <w:rFonts w:ascii="Calibri" w:hAnsi="Calibri"/>
                <w:b/>
                <w:sz w:val="18"/>
                <w:szCs w:val="18"/>
                <w:u w:val="single"/>
              </w:rPr>
              <w:t>Disadvantaged</w:t>
            </w:r>
          </w:p>
          <w:p w14:paraId="1C690D7C" w14:textId="77777777" w:rsidR="00BF75A3" w:rsidRDefault="00652B2B">
            <w:pPr>
              <w:jc w:val="center"/>
              <w:rPr>
                <w:rFonts w:ascii="Calibri" w:hAnsi="Calibri"/>
                <w:b/>
                <w:bCs/>
                <w:u w:val="single"/>
              </w:rPr>
            </w:pPr>
            <w:r>
              <w:rPr>
                <w:rFonts w:ascii="Calibri" w:hAnsi="Calibri"/>
                <w:b/>
                <w:bCs/>
                <w:sz w:val="18"/>
                <w:szCs w:val="18"/>
                <w:u w:val="single"/>
              </w:rPr>
              <w:t>(5 pupils)</w:t>
            </w:r>
          </w:p>
        </w:tc>
        <w:tc>
          <w:tcPr>
            <w:tcW w:w="815" w:type="dxa"/>
            <w:vAlign w:val="center"/>
          </w:tcPr>
          <w:p w14:paraId="1C690D7D" w14:textId="77777777" w:rsidR="00BF75A3" w:rsidRDefault="00652B2B">
            <w:pPr>
              <w:jc w:val="center"/>
              <w:rPr>
                <w:rFonts w:ascii="Calibri" w:hAnsi="Calibri"/>
                <w:b/>
                <w:sz w:val="18"/>
                <w:szCs w:val="18"/>
                <w:u w:val="single"/>
              </w:rPr>
            </w:pPr>
            <w:r>
              <w:rPr>
                <w:rFonts w:ascii="Calibri" w:hAnsi="Calibri"/>
                <w:b/>
                <w:sz w:val="18"/>
                <w:szCs w:val="18"/>
                <w:u w:val="single"/>
              </w:rPr>
              <w:t>VA Lower Band</w:t>
            </w:r>
          </w:p>
          <w:p w14:paraId="1C690D7E" w14:textId="77777777" w:rsidR="00BF75A3" w:rsidRDefault="00652B2B">
            <w:pPr>
              <w:jc w:val="center"/>
              <w:rPr>
                <w:rFonts w:ascii="Calibri" w:hAnsi="Calibri"/>
                <w:b/>
                <w:bCs/>
                <w:u w:val="single"/>
              </w:rPr>
            </w:pPr>
            <w:r>
              <w:rPr>
                <w:rFonts w:ascii="Calibri" w:hAnsi="Calibri"/>
                <w:b/>
                <w:bCs/>
                <w:sz w:val="18"/>
                <w:szCs w:val="18"/>
                <w:u w:val="single"/>
              </w:rPr>
              <w:t>Disadvantaged (4 pupils)</w:t>
            </w:r>
          </w:p>
        </w:tc>
      </w:tr>
      <w:tr w:rsidR="00BF75A3" w:rsidRPr="006924D9" w14:paraId="1C690D89" w14:textId="77777777">
        <w:trPr>
          <w:trHeight w:val="782"/>
        </w:trPr>
        <w:tc>
          <w:tcPr>
            <w:tcW w:w="1271" w:type="dxa"/>
            <w:shd w:val="clear" w:color="auto" w:fill="auto"/>
          </w:tcPr>
          <w:p w14:paraId="1C690D80" w14:textId="77777777" w:rsidR="00BF75A3" w:rsidRPr="006924D9" w:rsidRDefault="00652B2B">
            <w:pPr>
              <w:spacing w:after="200" w:line="276" w:lineRule="auto"/>
              <w:jc w:val="center"/>
              <w:rPr>
                <w:rFonts w:ascii="Calibri" w:hAnsi="Calibri"/>
                <w:color w:val="000000" w:themeColor="text1"/>
              </w:rPr>
            </w:pPr>
            <w:r w:rsidRPr="006924D9">
              <w:rPr>
                <w:rFonts w:ascii="Calibri" w:hAnsi="Calibri"/>
                <w:color w:val="000000" w:themeColor="text1"/>
              </w:rPr>
              <w:t>KS4 Result</w:t>
            </w:r>
          </w:p>
        </w:tc>
        <w:tc>
          <w:tcPr>
            <w:tcW w:w="1276" w:type="dxa"/>
            <w:shd w:val="clear" w:color="auto" w:fill="auto"/>
          </w:tcPr>
          <w:p w14:paraId="1C690D81" w14:textId="77777777" w:rsidR="00BF75A3" w:rsidRPr="006924D9" w:rsidRDefault="00652B2B">
            <w:pPr>
              <w:jc w:val="center"/>
              <w:rPr>
                <w:rFonts w:ascii="Calibri" w:hAnsi="Calibri"/>
                <w:color w:val="000000" w:themeColor="text1"/>
                <w14:textOutline w14:w="0" w14:cap="flat" w14:cmpd="sng" w14:algn="ctr">
                  <w14:noFill/>
                  <w14:prstDash w14:val="solid"/>
                  <w14:round/>
                </w14:textOutline>
              </w:rPr>
            </w:pPr>
            <w:r w:rsidRPr="006924D9">
              <w:rPr>
                <w:rFonts w:ascii="Calibri" w:hAnsi="Calibri"/>
                <w:color w:val="000000" w:themeColor="text1"/>
                <w14:textOutline w14:w="0" w14:cap="flat" w14:cmpd="sng" w14:algn="ctr">
                  <w14:noFill/>
                  <w14:prstDash w14:val="solid"/>
                  <w14:round/>
                </w14:textOutline>
              </w:rPr>
              <w:t>19 out of 163 (12%)</w:t>
            </w:r>
          </w:p>
        </w:tc>
        <w:tc>
          <w:tcPr>
            <w:tcW w:w="1378" w:type="dxa"/>
            <w:shd w:val="clear" w:color="auto" w:fill="auto"/>
          </w:tcPr>
          <w:p w14:paraId="1C690D82" w14:textId="77777777" w:rsidR="00BF75A3" w:rsidRPr="006924D9" w:rsidRDefault="00652B2B">
            <w:pPr>
              <w:spacing w:after="200" w:line="276" w:lineRule="auto"/>
              <w:jc w:val="center"/>
              <w:rPr>
                <w:rFonts w:ascii="Calibri" w:hAnsi="Calibri"/>
                <w:color w:val="000000" w:themeColor="text1"/>
              </w:rPr>
            </w:pPr>
            <w:r w:rsidRPr="006924D9">
              <w:rPr>
                <w:rFonts w:ascii="Calibri" w:hAnsi="Calibri"/>
                <w:color w:val="000000" w:themeColor="text1"/>
              </w:rPr>
              <w:t>0.64</w:t>
            </w:r>
          </w:p>
        </w:tc>
        <w:tc>
          <w:tcPr>
            <w:tcW w:w="1599" w:type="dxa"/>
            <w:shd w:val="clear" w:color="auto" w:fill="auto"/>
          </w:tcPr>
          <w:p w14:paraId="1C690D83" w14:textId="77777777" w:rsidR="00BF75A3" w:rsidRPr="006924D9" w:rsidRDefault="00652B2B">
            <w:pPr>
              <w:jc w:val="center"/>
              <w:rPr>
                <w:rFonts w:ascii="Calibri" w:hAnsi="Calibri"/>
                <w:color w:val="000000" w:themeColor="text1"/>
                <w14:textOutline w14:w="0" w14:cap="flat" w14:cmpd="sng" w14:algn="ctr">
                  <w14:noFill/>
                  <w14:prstDash w14:val="solid"/>
                  <w14:round/>
                </w14:textOutline>
              </w:rPr>
            </w:pPr>
            <w:r w:rsidRPr="006924D9">
              <w:rPr>
                <w:rFonts w:ascii="Calibri" w:hAnsi="Calibri"/>
                <w:color w:val="000000" w:themeColor="text1"/>
                <w14:textOutline w14:w="0" w14:cap="flat" w14:cmpd="sng" w14:algn="ctr">
                  <w14:noFill/>
                  <w14:prstDash w14:val="solid"/>
                  <w14:round/>
                </w14:textOutline>
              </w:rPr>
              <w:t>0.76</w:t>
            </w:r>
          </w:p>
        </w:tc>
        <w:tc>
          <w:tcPr>
            <w:tcW w:w="1455" w:type="dxa"/>
            <w:shd w:val="clear" w:color="auto" w:fill="auto"/>
          </w:tcPr>
          <w:p w14:paraId="1C690D84" w14:textId="77777777" w:rsidR="00BF75A3" w:rsidRPr="006924D9" w:rsidRDefault="00652B2B">
            <w:pPr>
              <w:jc w:val="center"/>
              <w:rPr>
                <w:rFonts w:ascii="Calibri" w:hAnsi="Calibri"/>
                <w:color w:val="000000" w:themeColor="text1"/>
                <w14:textOutline w14:w="0" w14:cap="flat" w14:cmpd="sng" w14:algn="ctr">
                  <w14:noFill/>
                  <w14:prstDash w14:val="solid"/>
                  <w14:round/>
                </w14:textOutline>
              </w:rPr>
            </w:pPr>
            <w:r w:rsidRPr="006924D9">
              <w:rPr>
                <w:rFonts w:ascii="Calibri" w:hAnsi="Calibri"/>
                <w:color w:val="000000" w:themeColor="text1"/>
                <w14:textOutline w14:w="0" w14:cap="flat" w14:cmpd="sng" w14:algn="ctr">
                  <w14:noFill/>
                  <w14:prstDash w14:val="solid"/>
                  <w14:round/>
                </w14:textOutline>
              </w:rPr>
              <w:t>-0.27</w:t>
            </w:r>
          </w:p>
        </w:tc>
        <w:tc>
          <w:tcPr>
            <w:tcW w:w="1096" w:type="dxa"/>
            <w:shd w:val="clear" w:color="auto" w:fill="auto"/>
          </w:tcPr>
          <w:p w14:paraId="1C690D85" w14:textId="77777777" w:rsidR="00BF75A3" w:rsidRPr="006924D9" w:rsidRDefault="00652B2B">
            <w:pPr>
              <w:jc w:val="center"/>
              <w:rPr>
                <w:rFonts w:ascii="Calibri" w:hAnsi="Calibri"/>
                <w:color w:val="000000" w:themeColor="text1"/>
                <w14:textOutline w14:w="0" w14:cap="flat" w14:cmpd="sng" w14:algn="ctr">
                  <w14:noFill/>
                  <w14:prstDash w14:val="solid"/>
                  <w14:round/>
                </w14:textOutline>
              </w:rPr>
            </w:pPr>
            <w:r w:rsidRPr="006924D9">
              <w:rPr>
                <w:rFonts w:ascii="Calibri" w:hAnsi="Calibri"/>
                <w:color w:val="000000" w:themeColor="text1"/>
                <w14:textOutline w14:w="0" w14:cap="flat" w14:cmpd="sng" w14:algn="ctr">
                  <w14:noFill/>
                  <w14:prstDash w14:val="solid"/>
                  <w14:round/>
                </w14:textOutline>
              </w:rPr>
              <w:t>1.03</w:t>
            </w:r>
          </w:p>
        </w:tc>
        <w:tc>
          <w:tcPr>
            <w:tcW w:w="992" w:type="dxa"/>
            <w:shd w:val="clear" w:color="auto" w:fill="auto"/>
          </w:tcPr>
          <w:p w14:paraId="1C690D86" w14:textId="77777777" w:rsidR="00BF75A3" w:rsidRPr="006924D9" w:rsidRDefault="00652B2B">
            <w:pPr>
              <w:spacing w:after="200" w:line="276" w:lineRule="auto"/>
              <w:jc w:val="center"/>
              <w:rPr>
                <w:rFonts w:ascii="Calibri" w:hAnsi="Calibri"/>
                <w:color w:val="000000" w:themeColor="text1"/>
              </w:rPr>
            </w:pPr>
            <w:r w:rsidRPr="006924D9">
              <w:rPr>
                <w:rFonts w:ascii="Calibri" w:hAnsi="Calibri"/>
                <w:color w:val="000000" w:themeColor="text1"/>
              </w:rPr>
              <w:t>0.31</w:t>
            </w:r>
          </w:p>
        </w:tc>
        <w:tc>
          <w:tcPr>
            <w:tcW w:w="851" w:type="dxa"/>
            <w:shd w:val="clear" w:color="auto" w:fill="auto"/>
          </w:tcPr>
          <w:p w14:paraId="1C690D87" w14:textId="77777777" w:rsidR="00BF75A3" w:rsidRPr="006924D9" w:rsidRDefault="00652B2B">
            <w:pPr>
              <w:jc w:val="center"/>
              <w:rPr>
                <w:rFonts w:ascii="Calibri" w:hAnsi="Calibri"/>
                <w:color w:val="000000" w:themeColor="text1"/>
                <w14:textOutline w14:w="0" w14:cap="flat" w14:cmpd="sng" w14:algn="ctr">
                  <w14:noFill/>
                  <w14:prstDash w14:val="solid"/>
                  <w14:round/>
                </w14:textOutline>
              </w:rPr>
            </w:pPr>
            <w:r w:rsidRPr="006924D9">
              <w:rPr>
                <w:rFonts w:ascii="Calibri" w:hAnsi="Calibri"/>
                <w:color w:val="000000" w:themeColor="text1"/>
                <w14:textOutline w14:w="0" w14:cap="flat" w14:cmpd="sng" w14:algn="ctr">
                  <w14:noFill/>
                  <w14:prstDash w14:val="solid"/>
                  <w14:round/>
                </w14:textOutline>
              </w:rPr>
              <w:t>-0.67</w:t>
            </w:r>
          </w:p>
        </w:tc>
        <w:tc>
          <w:tcPr>
            <w:tcW w:w="815" w:type="dxa"/>
            <w:shd w:val="clear" w:color="auto" w:fill="auto"/>
          </w:tcPr>
          <w:p w14:paraId="1C690D88" w14:textId="77777777" w:rsidR="00BF75A3" w:rsidRPr="006924D9" w:rsidRDefault="00652B2B">
            <w:pPr>
              <w:spacing w:after="200" w:line="276" w:lineRule="auto"/>
              <w:jc w:val="center"/>
              <w:rPr>
                <w:rFonts w:ascii="Calibri" w:hAnsi="Calibri"/>
                <w:color w:val="000000" w:themeColor="text1"/>
              </w:rPr>
            </w:pPr>
            <w:r w:rsidRPr="006924D9">
              <w:rPr>
                <w:rFonts w:ascii="Calibri" w:hAnsi="Calibri"/>
                <w:color w:val="000000" w:themeColor="text1"/>
              </w:rPr>
              <w:t>-1.07</w:t>
            </w:r>
          </w:p>
        </w:tc>
      </w:tr>
      <w:tr w:rsidR="00BF75A3" w:rsidRPr="006924D9" w14:paraId="1C690D94" w14:textId="77777777" w:rsidTr="006924D9">
        <w:trPr>
          <w:trHeight w:val="760"/>
        </w:trPr>
        <w:tc>
          <w:tcPr>
            <w:tcW w:w="1271" w:type="dxa"/>
            <w:shd w:val="clear" w:color="auto" w:fill="auto"/>
          </w:tcPr>
          <w:p w14:paraId="1C690D8A" w14:textId="77777777" w:rsidR="00BF75A3" w:rsidRPr="006924D9" w:rsidRDefault="00652B2B">
            <w:pPr>
              <w:jc w:val="center"/>
              <w:rPr>
                <w:rFonts w:ascii="Calibri" w:hAnsi="Calibri"/>
                <w:color w:val="000000" w:themeColor="text1"/>
                <w14:textOutline w14:w="0" w14:cap="flat" w14:cmpd="sng" w14:algn="ctr">
                  <w14:noFill/>
                  <w14:prstDash w14:val="solid"/>
                  <w14:round/>
                </w14:textOutline>
              </w:rPr>
            </w:pPr>
            <w:r w:rsidRPr="006924D9">
              <w:rPr>
                <w:rFonts w:ascii="Calibri" w:hAnsi="Calibri"/>
                <w:color w:val="000000" w:themeColor="text1"/>
                <w14:textOutline w14:w="0" w14:cap="flat" w14:cmpd="sng" w14:algn="ctr">
                  <w14:noFill/>
                  <w14:prstDash w14:val="solid"/>
                  <w14:round/>
                </w14:textOutline>
              </w:rPr>
              <w:t>Feb</w:t>
            </w:r>
          </w:p>
          <w:p w14:paraId="1C690D8B" w14:textId="77777777" w:rsidR="00BF75A3" w:rsidRPr="006924D9" w:rsidRDefault="00652B2B">
            <w:pPr>
              <w:jc w:val="center"/>
              <w:rPr>
                <w:rFonts w:ascii="Calibri" w:hAnsi="Calibri"/>
                <w:color w:val="000000" w:themeColor="text1"/>
                <w14:textOutline w14:w="0" w14:cap="flat" w14:cmpd="sng" w14:algn="ctr">
                  <w14:noFill/>
                  <w14:prstDash w14:val="solid"/>
                  <w14:round/>
                </w14:textOutline>
              </w:rPr>
            </w:pPr>
            <w:r w:rsidRPr="006924D9">
              <w:rPr>
                <w:rFonts w:ascii="Calibri" w:hAnsi="Calibri"/>
                <w:color w:val="000000" w:themeColor="text1"/>
                <w14:textOutline w14:w="0" w14:cap="flat" w14:cmpd="sng" w14:algn="ctr">
                  <w14:noFill/>
                  <w14:prstDash w14:val="solid"/>
                  <w14:round/>
                </w14:textOutline>
              </w:rPr>
              <w:t>2020</w:t>
            </w:r>
          </w:p>
        </w:tc>
        <w:tc>
          <w:tcPr>
            <w:tcW w:w="1276" w:type="dxa"/>
            <w:shd w:val="clear" w:color="auto" w:fill="auto"/>
          </w:tcPr>
          <w:p w14:paraId="1C690D8C" w14:textId="77777777" w:rsidR="00BF75A3" w:rsidRPr="006924D9" w:rsidRDefault="00652B2B">
            <w:pPr>
              <w:jc w:val="center"/>
              <w:rPr>
                <w:rFonts w:ascii="Calibri" w:hAnsi="Calibri"/>
                <w:color w:val="000000" w:themeColor="text1"/>
                <w14:textOutline w14:w="0" w14:cap="flat" w14:cmpd="sng" w14:algn="ctr">
                  <w14:noFill/>
                  <w14:prstDash w14:val="solid"/>
                  <w14:round/>
                </w14:textOutline>
              </w:rPr>
            </w:pPr>
            <w:r w:rsidRPr="006924D9">
              <w:rPr>
                <w:rFonts w:ascii="Calibri" w:hAnsi="Calibri"/>
                <w:color w:val="000000" w:themeColor="text1"/>
                <w14:textOutline w14:w="0" w14:cap="flat" w14:cmpd="sng" w14:algn="ctr">
                  <w14:noFill/>
                  <w14:prstDash w14:val="solid"/>
                  <w14:round/>
                </w14:textOutline>
              </w:rPr>
              <w:t>19 out of 163 (12%)</w:t>
            </w:r>
          </w:p>
        </w:tc>
        <w:tc>
          <w:tcPr>
            <w:tcW w:w="1378" w:type="dxa"/>
            <w:shd w:val="clear" w:color="auto" w:fill="auto"/>
          </w:tcPr>
          <w:p w14:paraId="1C690D8D" w14:textId="77777777" w:rsidR="00BF75A3" w:rsidRPr="006924D9" w:rsidRDefault="00652B2B">
            <w:pPr>
              <w:spacing w:after="200" w:line="276" w:lineRule="auto"/>
              <w:jc w:val="center"/>
              <w:rPr>
                <w:rFonts w:ascii="Calibri" w:hAnsi="Calibri"/>
                <w:color w:val="000000" w:themeColor="text1"/>
              </w:rPr>
            </w:pPr>
            <w:r w:rsidRPr="006924D9">
              <w:rPr>
                <w:rFonts w:ascii="Calibri" w:hAnsi="Calibri"/>
                <w:color w:val="000000" w:themeColor="text1"/>
              </w:rPr>
              <w:t>0.30</w:t>
            </w:r>
          </w:p>
        </w:tc>
        <w:tc>
          <w:tcPr>
            <w:tcW w:w="1599" w:type="dxa"/>
            <w:shd w:val="clear" w:color="auto" w:fill="auto"/>
          </w:tcPr>
          <w:p w14:paraId="1C690D8E" w14:textId="77777777" w:rsidR="00BF75A3" w:rsidRPr="006924D9" w:rsidRDefault="00652B2B">
            <w:pPr>
              <w:jc w:val="center"/>
              <w:rPr>
                <w:rFonts w:ascii="Calibri" w:hAnsi="Calibri"/>
                <w:color w:val="000000" w:themeColor="text1"/>
                <w14:textOutline w14:w="0" w14:cap="flat" w14:cmpd="sng" w14:algn="ctr">
                  <w14:noFill/>
                  <w14:prstDash w14:val="solid"/>
                  <w14:round/>
                </w14:textOutline>
              </w:rPr>
            </w:pPr>
            <w:r w:rsidRPr="006924D9">
              <w:rPr>
                <w:rFonts w:ascii="Calibri" w:hAnsi="Calibri"/>
                <w:color w:val="000000" w:themeColor="text1"/>
                <w14:textOutline w14:w="0" w14:cap="flat" w14:cmpd="sng" w14:algn="ctr">
                  <w14:noFill/>
                  <w14:prstDash w14:val="solid"/>
                  <w14:round/>
                </w14:textOutline>
              </w:rPr>
              <w:t>0.44</w:t>
            </w:r>
          </w:p>
        </w:tc>
        <w:tc>
          <w:tcPr>
            <w:tcW w:w="1455" w:type="dxa"/>
            <w:shd w:val="clear" w:color="auto" w:fill="auto"/>
          </w:tcPr>
          <w:p w14:paraId="1C690D8F" w14:textId="77777777" w:rsidR="00BF75A3" w:rsidRPr="006924D9" w:rsidRDefault="00652B2B">
            <w:pPr>
              <w:jc w:val="center"/>
              <w:rPr>
                <w:rFonts w:ascii="Calibri" w:hAnsi="Calibri"/>
                <w:color w:val="000000" w:themeColor="text1"/>
                <w14:textOutline w14:w="0" w14:cap="flat" w14:cmpd="sng" w14:algn="ctr">
                  <w14:noFill/>
                  <w14:prstDash w14:val="solid"/>
                  <w14:round/>
                </w14:textOutline>
              </w:rPr>
            </w:pPr>
            <w:r w:rsidRPr="006924D9">
              <w:rPr>
                <w:rFonts w:ascii="Calibri" w:hAnsi="Calibri"/>
                <w:color w:val="000000" w:themeColor="text1"/>
                <w14:textOutline w14:w="0" w14:cap="flat" w14:cmpd="sng" w14:algn="ctr">
                  <w14:noFill/>
                  <w14:prstDash w14:val="solid"/>
                  <w14:round/>
                </w14:textOutline>
              </w:rPr>
              <w:t>-0.82</w:t>
            </w:r>
          </w:p>
        </w:tc>
        <w:tc>
          <w:tcPr>
            <w:tcW w:w="1096" w:type="dxa"/>
            <w:shd w:val="clear" w:color="auto" w:fill="auto"/>
          </w:tcPr>
          <w:p w14:paraId="1C690D90" w14:textId="77777777" w:rsidR="00BF75A3" w:rsidRPr="006924D9" w:rsidRDefault="00652B2B">
            <w:pPr>
              <w:jc w:val="center"/>
              <w:rPr>
                <w:rFonts w:ascii="Calibri" w:hAnsi="Calibri"/>
                <w:color w:val="000000" w:themeColor="text1"/>
                <w14:textOutline w14:w="0" w14:cap="flat" w14:cmpd="sng" w14:algn="ctr">
                  <w14:noFill/>
                  <w14:prstDash w14:val="solid"/>
                  <w14:round/>
                </w14:textOutline>
              </w:rPr>
            </w:pPr>
            <w:r w:rsidRPr="006924D9">
              <w:rPr>
                <w:rFonts w:ascii="Calibri" w:hAnsi="Calibri"/>
                <w:color w:val="000000" w:themeColor="text1"/>
                <w14:textOutline w14:w="0" w14:cap="flat" w14:cmpd="sng" w14:algn="ctr">
                  <w14:noFill/>
                  <w14:prstDash w14:val="solid"/>
                  <w14:round/>
                </w14:textOutline>
              </w:rPr>
              <w:t>1.26</w:t>
            </w:r>
          </w:p>
        </w:tc>
        <w:tc>
          <w:tcPr>
            <w:tcW w:w="992" w:type="dxa"/>
            <w:shd w:val="clear" w:color="auto" w:fill="auto"/>
          </w:tcPr>
          <w:p w14:paraId="1C690D91" w14:textId="77777777" w:rsidR="00BF75A3" w:rsidRPr="006924D9" w:rsidRDefault="00652B2B">
            <w:pPr>
              <w:spacing w:after="200" w:line="276" w:lineRule="auto"/>
              <w:jc w:val="center"/>
              <w:rPr>
                <w:rFonts w:ascii="Calibri" w:hAnsi="Calibri"/>
                <w:color w:val="000000" w:themeColor="text1"/>
              </w:rPr>
            </w:pPr>
            <w:r w:rsidRPr="006924D9">
              <w:rPr>
                <w:rFonts w:ascii="Calibri" w:hAnsi="Calibri"/>
                <w:color w:val="000000" w:themeColor="text1"/>
              </w:rPr>
              <w:t>-0.83</w:t>
            </w:r>
          </w:p>
        </w:tc>
        <w:tc>
          <w:tcPr>
            <w:tcW w:w="851" w:type="dxa"/>
            <w:shd w:val="clear" w:color="auto" w:fill="auto"/>
          </w:tcPr>
          <w:p w14:paraId="1C690D92" w14:textId="77777777" w:rsidR="00BF75A3" w:rsidRPr="006924D9" w:rsidRDefault="00652B2B">
            <w:pPr>
              <w:jc w:val="center"/>
              <w:rPr>
                <w:rFonts w:ascii="Calibri" w:hAnsi="Calibri"/>
                <w:color w:val="000000" w:themeColor="text1"/>
                <w14:textOutline w14:w="0" w14:cap="flat" w14:cmpd="sng" w14:algn="ctr">
                  <w14:noFill/>
                  <w14:prstDash w14:val="solid"/>
                  <w14:round/>
                </w14:textOutline>
              </w:rPr>
            </w:pPr>
            <w:r w:rsidRPr="006924D9">
              <w:rPr>
                <w:rFonts w:ascii="Calibri" w:hAnsi="Calibri"/>
                <w:color w:val="000000" w:themeColor="text1"/>
                <w14:textOutline w14:w="0" w14:cap="flat" w14:cmpd="sng" w14:algn="ctr">
                  <w14:noFill/>
                  <w14:prstDash w14:val="solid"/>
                  <w14:round/>
                </w14:textOutline>
              </w:rPr>
              <w:t>-0.77</w:t>
            </w:r>
          </w:p>
        </w:tc>
        <w:tc>
          <w:tcPr>
            <w:tcW w:w="815" w:type="dxa"/>
            <w:shd w:val="clear" w:color="auto" w:fill="auto"/>
          </w:tcPr>
          <w:p w14:paraId="1C690D93" w14:textId="77777777" w:rsidR="00BF75A3" w:rsidRPr="006924D9" w:rsidRDefault="00652B2B">
            <w:pPr>
              <w:spacing w:after="200" w:line="276" w:lineRule="auto"/>
              <w:jc w:val="center"/>
              <w:rPr>
                <w:rFonts w:ascii="Calibri" w:hAnsi="Calibri"/>
                <w:color w:val="000000" w:themeColor="text1"/>
              </w:rPr>
            </w:pPr>
            <w:r w:rsidRPr="006924D9">
              <w:rPr>
                <w:rFonts w:ascii="Calibri" w:hAnsi="Calibri"/>
                <w:color w:val="000000" w:themeColor="text1"/>
              </w:rPr>
              <w:t>-0.84</w:t>
            </w:r>
          </w:p>
        </w:tc>
      </w:tr>
      <w:tr w:rsidR="00BF75A3" w:rsidRPr="006924D9" w14:paraId="1C690D9E" w14:textId="77777777" w:rsidTr="006924D9">
        <w:trPr>
          <w:trHeight w:val="760"/>
        </w:trPr>
        <w:tc>
          <w:tcPr>
            <w:tcW w:w="1271" w:type="dxa"/>
            <w:shd w:val="clear" w:color="auto" w:fill="auto"/>
          </w:tcPr>
          <w:p w14:paraId="1C690D95" w14:textId="77777777" w:rsidR="00BF75A3" w:rsidRPr="006924D9" w:rsidRDefault="00652B2B">
            <w:pPr>
              <w:jc w:val="center"/>
              <w:rPr>
                <w:rFonts w:ascii="Calibri" w:hAnsi="Calibri"/>
                <w:color w:val="000000" w:themeColor="text1"/>
                <w14:textOutline w14:w="0" w14:cap="flat" w14:cmpd="sng" w14:algn="ctr">
                  <w14:noFill/>
                  <w14:prstDash w14:val="solid"/>
                  <w14:round/>
                </w14:textOutline>
              </w:rPr>
            </w:pPr>
            <w:r w:rsidRPr="006924D9">
              <w:rPr>
                <w:rFonts w:ascii="Calibri" w:hAnsi="Calibri"/>
                <w:color w:val="000000" w:themeColor="text1"/>
                <w14:textOutline w14:w="0" w14:cap="flat" w14:cmpd="sng" w14:algn="ctr">
                  <w14:noFill/>
                  <w14:prstDash w14:val="solid"/>
                  <w14:round/>
                </w14:textOutline>
              </w:rPr>
              <w:t>Difference</w:t>
            </w:r>
          </w:p>
        </w:tc>
        <w:tc>
          <w:tcPr>
            <w:tcW w:w="1276" w:type="dxa"/>
            <w:shd w:val="clear" w:color="auto" w:fill="auto"/>
          </w:tcPr>
          <w:p w14:paraId="1C690D96" w14:textId="77777777" w:rsidR="00BF75A3" w:rsidRPr="006924D9" w:rsidRDefault="00652B2B">
            <w:pPr>
              <w:jc w:val="center"/>
              <w:rPr>
                <w:rFonts w:ascii="Calibri" w:hAnsi="Calibri"/>
                <w:color w:val="000000" w:themeColor="text1"/>
                <w14:textOutline w14:w="0" w14:cap="flat" w14:cmpd="sng" w14:algn="ctr">
                  <w14:noFill/>
                  <w14:prstDash w14:val="solid"/>
                  <w14:round/>
                </w14:textOutline>
              </w:rPr>
            </w:pPr>
            <w:r w:rsidRPr="006924D9">
              <w:rPr>
                <w:rFonts w:ascii="Calibri" w:hAnsi="Calibri"/>
                <w:color w:val="000000" w:themeColor="text1"/>
                <w14:textOutline w14:w="0" w14:cap="flat" w14:cmpd="sng" w14:algn="ctr">
                  <w14:noFill/>
                  <w14:prstDash w14:val="solid"/>
                  <w14:round/>
                </w14:textOutline>
              </w:rPr>
              <w:t>0</w:t>
            </w:r>
          </w:p>
        </w:tc>
        <w:tc>
          <w:tcPr>
            <w:tcW w:w="1378" w:type="dxa"/>
            <w:shd w:val="clear" w:color="auto" w:fill="auto"/>
          </w:tcPr>
          <w:p w14:paraId="1C690D97" w14:textId="77777777" w:rsidR="00BF75A3" w:rsidRPr="006924D9" w:rsidRDefault="00652B2B">
            <w:pPr>
              <w:jc w:val="center"/>
              <w:rPr>
                <w:rFonts w:ascii="Calibri" w:hAnsi="Calibri"/>
                <w:color w:val="000000" w:themeColor="text1"/>
                <w14:textOutline w14:w="0" w14:cap="flat" w14:cmpd="sng" w14:algn="ctr">
                  <w14:noFill/>
                  <w14:prstDash w14:val="solid"/>
                  <w14:round/>
                </w14:textOutline>
              </w:rPr>
            </w:pPr>
            <w:r w:rsidRPr="006924D9">
              <w:rPr>
                <w:rFonts w:ascii="Calibri" w:hAnsi="Calibri"/>
                <w:color w:val="000000" w:themeColor="text1"/>
                <w14:textOutline w14:w="0" w14:cap="flat" w14:cmpd="sng" w14:algn="ctr">
                  <w14:noFill/>
                  <w14:prstDash w14:val="solid"/>
                  <w14:round/>
                </w14:textOutline>
              </w:rPr>
              <w:t>0.34</w:t>
            </w:r>
          </w:p>
        </w:tc>
        <w:tc>
          <w:tcPr>
            <w:tcW w:w="1599" w:type="dxa"/>
            <w:shd w:val="clear" w:color="auto" w:fill="auto"/>
          </w:tcPr>
          <w:p w14:paraId="1C690D98" w14:textId="77777777" w:rsidR="00BF75A3" w:rsidRPr="006924D9" w:rsidRDefault="00652B2B">
            <w:pPr>
              <w:spacing w:after="200" w:line="276" w:lineRule="auto"/>
              <w:jc w:val="center"/>
              <w:rPr>
                <w:rFonts w:ascii="Calibri" w:hAnsi="Calibri"/>
                <w:color w:val="000000" w:themeColor="text1"/>
              </w:rPr>
            </w:pPr>
            <w:r w:rsidRPr="006924D9">
              <w:rPr>
                <w:rFonts w:ascii="Calibri" w:hAnsi="Calibri"/>
                <w:color w:val="000000" w:themeColor="text1"/>
              </w:rPr>
              <w:t>0.32</w:t>
            </w:r>
          </w:p>
        </w:tc>
        <w:tc>
          <w:tcPr>
            <w:tcW w:w="1455" w:type="dxa"/>
            <w:shd w:val="clear" w:color="auto" w:fill="auto"/>
          </w:tcPr>
          <w:p w14:paraId="1C690D99" w14:textId="77777777" w:rsidR="00BF75A3" w:rsidRPr="006924D9" w:rsidRDefault="00652B2B">
            <w:pPr>
              <w:jc w:val="center"/>
              <w:rPr>
                <w:rFonts w:ascii="Calibri" w:hAnsi="Calibri"/>
                <w:color w:val="000000" w:themeColor="text1"/>
                <w14:textOutline w14:w="0" w14:cap="flat" w14:cmpd="sng" w14:algn="ctr">
                  <w14:noFill/>
                  <w14:prstDash w14:val="solid"/>
                  <w14:round/>
                </w14:textOutline>
              </w:rPr>
            </w:pPr>
            <w:r w:rsidRPr="006924D9">
              <w:rPr>
                <w:rFonts w:ascii="Calibri" w:hAnsi="Calibri"/>
                <w:color w:val="000000" w:themeColor="text1"/>
                <w14:textOutline w14:w="0" w14:cap="flat" w14:cmpd="sng" w14:algn="ctr">
                  <w14:noFill/>
                  <w14:prstDash w14:val="solid"/>
                  <w14:round/>
                </w14:textOutline>
              </w:rPr>
              <w:t>0.55</w:t>
            </w:r>
          </w:p>
        </w:tc>
        <w:tc>
          <w:tcPr>
            <w:tcW w:w="1096" w:type="dxa"/>
            <w:shd w:val="clear" w:color="auto" w:fill="auto"/>
          </w:tcPr>
          <w:p w14:paraId="1C690D9A" w14:textId="77777777" w:rsidR="00BF75A3" w:rsidRPr="006924D9" w:rsidRDefault="00652B2B">
            <w:pPr>
              <w:jc w:val="center"/>
              <w:rPr>
                <w:rFonts w:ascii="Calibri" w:hAnsi="Calibri"/>
                <w:color w:val="000000" w:themeColor="text1"/>
                <w14:textOutline w14:w="0" w14:cap="flat" w14:cmpd="sng" w14:algn="ctr">
                  <w14:noFill/>
                  <w14:prstDash w14:val="solid"/>
                  <w14:round/>
                </w14:textOutline>
              </w:rPr>
            </w:pPr>
            <w:r w:rsidRPr="006924D9">
              <w:rPr>
                <w:rFonts w:ascii="Calibri" w:hAnsi="Calibri"/>
                <w:color w:val="000000" w:themeColor="text1"/>
                <w14:textOutline w14:w="0" w14:cap="flat" w14:cmpd="sng" w14:algn="ctr">
                  <w14:noFill/>
                  <w14:prstDash w14:val="solid"/>
                  <w14:round/>
                </w14:textOutline>
              </w:rPr>
              <w:t>-0.23</w:t>
            </w:r>
          </w:p>
        </w:tc>
        <w:tc>
          <w:tcPr>
            <w:tcW w:w="992" w:type="dxa"/>
            <w:shd w:val="clear" w:color="auto" w:fill="auto"/>
          </w:tcPr>
          <w:p w14:paraId="1C690D9B" w14:textId="77777777" w:rsidR="00BF75A3" w:rsidRPr="006924D9" w:rsidRDefault="00652B2B">
            <w:pPr>
              <w:jc w:val="center"/>
              <w:rPr>
                <w:rFonts w:ascii="Calibri" w:hAnsi="Calibri"/>
                <w:color w:val="000000" w:themeColor="text1"/>
                <w14:textOutline w14:w="0" w14:cap="flat" w14:cmpd="sng" w14:algn="ctr">
                  <w14:noFill/>
                  <w14:prstDash w14:val="solid"/>
                  <w14:round/>
                </w14:textOutline>
              </w:rPr>
            </w:pPr>
            <w:r w:rsidRPr="006924D9">
              <w:rPr>
                <w:rFonts w:ascii="Calibri" w:hAnsi="Calibri"/>
                <w:color w:val="000000" w:themeColor="text1"/>
                <w14:textOutline w14:w="0" w14:cap="flat" w14:cmpd="sng" w14:algn="ctr">
                  <w14:noFill/>
                  <w14:prstDash w14:val="solid"/>
                  <w14:round/>
                </w14:textOutline>
              </w:rPr>
              <w:t>+1.14</w:t>
            </w:r>
          </w:p>
        </w:tc>
        <w:tc>
          <w:tcPr>
            <w:tcW w:w="851" w:type="dxa"/>
            <w:shd w:val="clear" w:color="auto" w:fill="auto"/>
          </w:tcPr>
          <w:p w14:paraId="1C690D9C" w14:textId="77777777" w:rsidR="00BF75A3" w:rsidRPr="006924D9" w:rsidRDefault="00652B2B">
            <w:pPr>
              <w:jc w:val="center"/>
              <w:rPr>
                <w:rFonts w:ascii="Calibri" w:hAnsi="Calibri"/>
                <w:color w:val="000000" w:themeColor="text1"/>
                <w14:textOutline w14:w="0" w14:cap="flat" w14:cmpd="sng" w14:algn="ctr">
                  <w14:noFill/>
                  <w14:prstDash w14:val="solid"/>
                  <w14:round/>
                </w14:textOutline>
              </w:rPr>
            </w:pPr>
            <w:r w:rsidRPr="006924D9">
              <w:rPr>
                <w:rFonts w:ascii="Calibri" w:hAnsi="Calibri"/>
                <w:color w:val="000000" w:themeColor="text1"/>
                <w14:textOutline w14:w="0" w14:cap="flat" w14:cmpd="sng" w14:algn="ctr">
                  <w14:noFill/>
                  <w14:prstDash w14:val="solid"/>
                  <w14:round/>
                </w14:textOutline>
              </w:rPr>
              <w:t>+0.10</w:t>
            </w:r>
          </w:p>
        </w:tc>
        <w:tc>
          <w:tcPr>
            <w:tcW w:w="815" w:type="dxa"/>
            <w:shd w:val="clear" w:color="auto" w:fill="auto"/>
          </w:tcPr>
          <w:p w14:paraId="1C690D9D" w14:textId="77777777" w:rsidR="00BF75A3" w:rsidRPr="006924D9" w:rsidRDefault="00652B2B">
            <w:pPr>
              <w:spacing w:after="200" w:line="276" w:lineRule="auto"/>
              <w:jc w:val="center"/>
              <w:rPr>
                <w:rFonts w:ascii="Calibri" w:hAnsi="Calibri"/>
                <w:color w:val="000000" w:themeColor="text1"/>
              </w:rPr>
            </w:pPr>
            <w:r w:rsidRPr="006924D9">
              <w:rPr>
                <w:rFonts w:ascii="Calibri" w:hAnsi="Calibri"/>
                <w:color w:val="000000" w:themeColor="text1"/>
              </w:rPr>
              <w:t>-0.23</w:t>
            </w:r>
          </w:p>
        </w:tc>
      </w:tr>
    </w:tbl>
    <w:p w14:paraId="1C690D9F" w14:textId="77777777" w:rsidR="00BF75A3" w:rsidRDefault="00BF75A3">
      <w:pPr>
        <w:jc w:val="center"/>
        <w:rPr>
          <w:rFonts w:ascii="Calibri" w:hAnsi="Calibri"/>
          <w:b/>
          <w:u w:val="single"/>
        </w:rPr>
      </w:pPr>
    </w:p>
    <w:p w14:paraId="1C690DA0" w14:textId="77777777" w:rsidR="00BF75A3" w:rsidRPr="006924D9" w:rsidRDefault="00652B2B">
      <w:pPr>
        <w:ind w:left="-709"/>
        <w:rPr>
          <w:rFonts w:ascii="Calibri" w:hAnsi="Calibri"/>
          <w:b/>
          <w:bCs/>
        </w:rPr>
      </w:pPr>
      <w:r w:rsidRPr="006924D9">
        <w:rPr>
          <w:rFonts w:ascii="Calibri" w:hAnsi="Calibri"/>
          <w:b/>
          <w:bCs/>
        </w:rPr>
        <w:t>*VA calculated against national datasets</w:t>
      </w:r>
    </w:p>
    <w:p w14:paraId="1C690DA1" w14:textId="77777777" w:rsidR="00BF75A3" w:rsidRPr="006924D9" w:rsidRDefault="00652B2B">
      <w:pPr>
        <w:pStyle w:val="ListParagraph"/>
        <w:numPr>
          <w:ilvl w:val="0"/>
          <w:numId w:val="9"/>
        </w:numPr>
        <w:spacing w:after="0" w:line="240" w:lineRule="auto"/>
        <w:rPr>
          <w:rFonts w:eastAsiaTheme="minorEastAsia"/>
        </w:rPr>
      </w:pPr>
      <w:r w:rsidRPr="006924D9">
        <w:rPr>
          <w:rFonts w:ascii="Calibri" w:hAnsi="Calibri"/>
        </w:rPr>
        <w:t>2019/2020 year 11 disadvantaged cohort achieved an estimated –0.27 P8 score. Just over half a grade improvement was seen in actual results compared to PPG’s made in</w:t>
      </w:r>
      <w:r w:rsidRPr="006924D9">
        <w:rPr>
          <w:rFonts w:ascii="Calibri" w:hAnsi="Calibri"/>
        </w:rPr>
        <w:t xml:space="preserve"> Feb.</w:t>
      </w:r>
    </w:p>
    <w:p w14:paraId="1C690DA2" w14:textId="468E4697" w:rsidR="00BF75A3" w:rsidRPr="006924D9" w:rsidRDefault="00652B2B">
      <w:pPr>
        <w:pStyle w:val="ListParagraph"/>
        <w:numPr>
          <w:ilvl w:val="0"/>
          <w:numId w:val="9"/>
        </w:numPr>
        <w:spacing w:after="0" w:line="240" w:lineRule="auto"/>
        <w:rPr>
          <w:rFonts w:eastAsiaTheme="minorEastAsia"/>
        </w:rPr>
      </w:pPr>
      <w:r w:rsidRPr="006924D9">
        <w:rPr>
          <w:rFonts w:ascii="Calibri" w:hAnsi="Calibri"/>
        </w:rPr>
        <w:t xml:space="preserve">There was a VA gap of 1.03 between progress of the disadvantaged compared to the non-disadvantaged however within the cohort of 19, 3 had extreme negative progress scores due to non-attendance or following a reduced curriculum at an </w:t>
      </w:r>
      <w:bookmarkStart w:id="1" w:name="_GoBack"/>
      <w:bookmarkEnd w:id="1"/>
      <w:r w:rsidRPr="006924D9">
        <w:rPr>
          <w:rFonts w:ascii="Calibri" w:hAnsi="Calibri"/>
        </w:rPr>
        <w:t>external provider</w:t>
      </w:r>
      <w:r w:rsidRPr="006924D9">
        <w:rPr>
          <w:rFonts w:ascii="Calibri" w:hAnsi="Calibri"/>
        </w:rPr>
        <w:t>.</w:t>
      </w:r>
    </w:p>
    <w:p w14:paraId="1C690DA3" w14:textId="77777777" w:rsidR="00BF75A3" w:rsidRPr="006924D9" w:rsidRDefault="00652B2B">
      <w:pPr>
        <w:pStyle w:val="ListParagraph"/>
        <w:numPr>
          <w:ilvl w:val="0"/>
          <w:numId w:val="9"/>
        </w:numPr>
        <w:spacing w:after="0" w:line="240" w:lineRule="auto"/>
        <w:rPr>
          <w:rFonts w:ascii="Calibri" w:hAnsi="Calibri"/>
        </w:rPr>
      </w:pPr>
      <w:r w:rsidRPr="006924D9">
        <w:rPr>
          <w:rFonts w:ascii="Calibri" w:hAnsi="Calibri"/>
        </w:rPr>
        <w:t>Disadvantaged upper ability pupils achieved a positive progress score of 0.31. This was a big jump from the -0.82 prediction made in Feb 2020.</w:t>
      </w:r>
    </w:p>
    <w:p w14:paraId="1C690DA4" w14:textId="77777777" w:rsidR="00BF75A3" w:rsidRPr="006924D9" w:rsidRDefault="00BF75A3">
      <w:pPr>
        <w:rPr>
          <w:rFonts w:ascii="Calibri" w:hAnsi="Calibri"/>
          <w:b/>
          <w:bCs/>
        </w:rPr>
      </w:pPr>
    </w:p>
    <w:p w14:paraId="1C690DA5" w14:textId="77777777" w:rsidR="00BF75A3" w:rsidRPr="006924D9" w:rsidRDefault="00652B2B">
      <w:pPr>
        <w:rPr>
          <w:rFonts w:ascii="Calibri" w:hAnsi="Calibri"/>
          <w:b/>
          <w:bCs/>
        </w:rPr>
      </w:pPr>
      <w:r w:rsidRPr="006924D9">
        <w:rPr>
          <w:rFonts w:ascii="Calibri" w:hAnsi="Calibri"/>
          <w:b/>
          <w:bCs/>
        </w:rPr>
        <w:t>Intervention Strategies</w:t>
      </w:r>
    </w:p>
    <w:p w14:paraId="1C690DA6" w14:textId="47CC29D3" w:rsidR="00BF75A3" w:rsidRPr="006924D9" w:rsidRDefault="00652B2B">
      <w:pPr>
        <w:pStyle w:val="ListParagraph"/>
        <w:numPr>
          <w:ilvl w:val="0"/>
          <w:numId w:val="10"/>
        </w:numPr>
        <w:spacing w:after="0" w:line="240" w:lineRule="auto"/>
        <w:rPr>
          <w:rFonts w:eastAsiaTheme="minorEastAsia"/>
        </w:rPr>
      </w:pPr>
      <w:r w:rsidRPr="006924D9">
        <w:rPr>
          <w:rFonts w:ascii="Calibri" w:hAnsi="Calibri"/>
        </w:rPr>
        <w:t>Targeted intervention sessions in the core subjects (Maths, Englis</w:t>
      </w:r>
      <w:r>
        <w:rPr>
          <w:rFonts w:ascii="Calibri" w:hAnsi="Calibri"/>
        </w:rPr>
        <w:t>h</w:t>
      </w:r>
      <w:r w:rsidRPr="006924D9">
        <w:rPr>
          <w:rFonts w:ascii="Calibri" w:hAnsi="Calibri"/>
        </w:rPr>
        <w:t>, Science and RE) t</w:t>
      </w:r>
      <w:r w:rsidRPr="006924D9">
        <w:rPr>
          <w:rFonts w:ascii="Calibri" w:hAnsi="Calibri"/>
        </w:rPr>
        <w:t>ook place following the PPE’s in November through to the closure of the school due to covid-19 in March.</w:t>
      </w:r>
      <w:r w:rsidRPr="006924D9">
        <w:rPr>
          <w:rFonts w:ascii="Calibri" w:hAnsi="Calibri"/>
        </w:rPr>
        <w:t xml:space="preserve"> </w:t>
      </w:r>
    </w:p>
    <w:p w14:paraId="1C690DA7" w14:textId="77777777" w:rsidR="00BF75A3" w:rsidRPr="006924D9" w:rsidRDefault="00652B2B">
      <w:pPr>
        <w:pStyle w:val="ListParagraph"/>
        <w:numPr>
          <w:ilvl w:val="0"/>
          <w:numId w:val="10"/>
        </w:numPr>
        <w:spacing w:after="0" w:line="240" w:lineRule="auto"/>
      </w:pPr>
      <w:r w:rsidRPr="006924D9">
        <w:rPr>
          <w:rFonts w:ascii="Calibri" w:hAnsi="Calibri"/>
        </w:rPr>
        <w:t xml:space="preserve">Following the PiXL module that was used in the previous academic year, subjects used robust assessment data to identify weaknesses and to plan </w:t>
      </w:r>
      <w:r w:rsidRPr="006924D9">
        <w:rPr>
          <w:rFonts w:ascii="Calibri" w:hAnsi="Calibri"/>
        </w:rPr>
        <w:t>sessions aimed at filling the knowledge and skills gaps identified.</w:t>
      </w:r>
    </w:p>
    <w:p w14:paraId="1C690DA8" w14:textId="77777777" w:rsidR="00BF75A3" w:rsidRPr="006924D9" w:rsidRDefault="00652B2B">
      <w:pPr>
        <w:pStyle w:val="ListParagraph"/>
        <w:numPr>
          <w:ilvl w:val="0"/>
          <w:numId w:val="10"/>
        </w:numPr>
        <w:spacing w:after="0" w:line="240" w:lineRule="auto"/>
        <w:rPr>
          <w:rFonts w:ascii="Calibri" w:hAnsi="Calibri"/>
        </w:rPr>
      </w:pPr>
      <w:r w:rsidRPr="006924D9">
        <w:rPr>
          <w:rFonts w:ascii="Calibri" w:hAnsi="Calibri"/>
        </w:rPr>
        <w:t>Maths and English have used feedback from the PiXL Wave in order to personalise intervention and focus tasks set, revision sessions and teaching on areas of weakness.</w:t>
      </w:r>
    </w:p>
    <w:p w14:paraId="1C690DA9" w14:textId="77777777" w:rsidR="00BF75A3" w:rsidRPr="006924D9" w:rsidRDefault="00652B2B">
      <w:pPr>
        <w:pStyle w:val="ListParagraph"/>
        <w:numPr>
          <w:ilvl w:val="0"/>
          <w:numId w:val="10"/>
        </w:numPr>
        <w:spacing w:after="0" w:line="240" w:lineRule="auto"/>
        <w:rPr>
          <w:rFonts w:ascii="Calibri" w:hAnsi="Calibri"/>
        </w:rPr>
      </w:pPr>
      <w:r w:rsidRPr="006924D9">
        <w:rPr>
          <w:rFonts w:ascii="Calibri" w:hAnsi="Calibri"/>
        </w:rPr>
        <w:t xml:space="preserve">CLT sessions focused </w:t>
      </w:r>
      <w:r w:rsidRPr="006924D9">
        <w:rPr>
          <w:rFonts w:ascii="Calibri" w:hAnsi="Calibri"/>
        </w:rPr>
        <w:t>on developing methods of effective ‘in class’ intervention.</w:t>
      </w:r>
    </w:p>
    <w:p w14:paraId="1C690DAA" w14:textId="77777777" w:rsidR="00BF75A3" w:rsidRPr="006924D9" w:rsidRDefault="00BF75A3">
      <w:pPr>
        <w:rPr>
          <w:rFonts w:ascii="Calibri" w:hAnsi="Calibri"/>
        </w:rPr>
      </w:pPr>
    </w:p>
    <w:p w14:paraId="1C690DAB" w14:textId="77777777" w:rsidR="00BF75A3" w:rsidRPr="006924D9" w:rsidRDefault="00652B2B">
      <w:pPr>
        <w:rPr>
          <w:rFonts w:ascii="Calibri" w:hAnsi="Calibri"/>
          <w:b/>
          <w:bCs/>
        </w:rPr>
      </w:pPr>
      <w:r w:rsidRPr="006924D9">
        <w:rPr>
          <w:rFonts w:ascii="Calibri" w:hAnsi="Calibri"/>
          <w:b/>
          <w:bCs/>
        </w:rPr>
        <w:t>PiXL Intervention Strategies</w:t>
      </w:r>
    </w:p>
    <w:p w14:paraId="1C690DAC" w14:textId="77777777" w:rsidR="00BF75A3" w:rsidRPr="006924D9" w:rsidRDefault="00652B2B">
      <w:pPr>
        <w:pStyle w:val="ListParagraph"/>
        <w:numPr>
          <w:ilvl w:val="0"/>
          <w:numId w:val="12"/>
        </w:numPr>
        <w:spacing w:after="160" w:line="259" w:lineRule="auto"/>
        <w:rPr>
          <w:rFonts w:ascii="Calibri" w:hAnsi="Calibri"/>
        </w:rPr>
      </w:pPr>
      <w:r w:rsidRPr="006924D9">
        <w:rPr>
          <w:rFonts w:ascii="Calibri" w:hAnsi="Calibri"/>
        </w:rPr>
        <w:t>Since September 2018 the school have become part of PiXL. PiXL resources and strategies were introduced to all teaching staff during These strategies included a revis</w:t>
      </w:r>
      <w:r w:rsidRPr="006924D9">
        <w:rPr>
          <w:rFonts w:ascii="Calibri" w:hAnsi="Calibri"/>
        </w:rPr>
        <w:t xml:space="preserve">ed approach to intervention which included using Diagnosis, Therapy and Testing (DTT) and Smith’s Proformas.  </w:t>
      </w:r>
    </w:p>
    <w:p w14:paraId="1C690DAD" w14:textId="77777777" w:rsidR="00BF75A3" w:rsidRPr="006924D9" w:rsidRDefault="00652B2B">
      <w:pPr>
        <w:pStyle w:val="ListParagraph"/>
        <w:numPr>
          <w:ilvl w:val="0"/>
          <w:numId w:val="12"/>
        </w:numPr>
        <w:spacing w:after="160" w:line="259" w:lineRule="auto"/>
        <w:rPr>
          <w:rFonts w:ascii="Calibri" w:hAnsi="Calibri"/>
        </w:rPr>
      </w:pPr>
      <w:r w:rsidRPr="006924D9">
        <w:rPr>
          <w:rFonts w:ascii="Calibri" w:hAnsi="Calibri"/>
        </w:rPr>
        <w:lastRenderedPageBreak/>
        <w:t xml:space="preserve">Each subject leader has been met with during the autumn term to discuss the use of </w:t>
      </w:r>
      <w:proofErr w:type="spellStart"/>
      <w:r w:rsidRPr="006924D9">
        <w:rPr>
          <w:rFonts w:ascii="Calibri" w:hAnsi="Calibri"/>
        </w:rPr>
        <w:t>PiXl</w:t>
      </w:r>
      <w:proofErr w:type="spellEnd"/>
      <w:r w:rsidRPr="006924D9">
        <w:rPr>
          <w:rFonts w:ascii="Calibri" w:hAnsi="Calibri"/>
        </w:rPr>
        <w:t xml:space="preserve"> and intervention strategies. Intervention is now aimed at</w:t>
      </w:r>
      <w:r w:rsidRPr="006924D9">
        <w:rPr>
          <w:rFonts w:ascii="Calibri" w:hAnsi="Calibri"/>
        </w:rPr>
        <w:t xml:space="preserve"> filling the identified knowledge or skills gap of a learner.</w:t>
      </w:r>
    </w:p>
    <w:p w14:paraId="1C690DAE" w14:textId="77777777" w:rsidR="00BF75A3" w:rsidRPr="006924D9" w:rsidRDefault="00652B2B">
      <w:pPr>
        <w:pStyle w:val="ListParagraph"/>
        <w:numPr>
          <w:ilvl w:val="0"/>
          <w:numId w:val="12"/>
        </w:numPr>
        <w:spacing w:after="160" w:line="259" w:lineRule="auto"/>
        <w:rPr>
          <w:rFonts w:ascii="Calibri" w:hAnsi="Calibri"/>
        </w:rPr>
      </w:pPr>
      <w:r w:rsidRPr="006924D9">
        <w:rPr>
          <w:rFonts w:ascii="Calibri" w:hAnsi="Calibri"/>
        </w:rPr>
        <w:t>Maths entered the PiXL Wave initiative in November and English and Maths completed the Spring Wave. As a result of this, each pupil, disadvantaged and non-disadvantaged, were given a proforma wh</w:t>
      </w:r>
      <w:r w:rsidRPr="006924D9">
        <w:rPr>
          <w:rFonts w:ascii="Calibri" w:hAnsi="Calibri"/>
        </w:rPr>
        <w:t>ich details their skill or knowledge areas of strengths and weakness and what action needs to be taken in order to improve.</w:t>
      </w:r>
      <w:r w:rsidRPr="006924D9">
        <w:rPr>
          <w:rFonts w:ascii="Calibri" w:hAnsi="Calibri"/>
        </w:rPr>
        <w:t xml:space="preserve"> </w:t>
      </w:r>
    </w:p>
    <w:p w14:paraId="1C690DAF" w14:textId="77777777" w:rsidR="00BF75A3" w:rsidRPr="006924D9" w:rsidRDefault="00652B2B">
      <w:pPr>
        <w:rPr>
          <w:rFonts w:ascii="Calibri" w:hAnsi="Calibri"/>
          <w:b/>
          <w:bCs/>
        </w:rPr>
      </w:pPr>
      <w:r w:rsidRPr="006924D9">
        <w:rPr>
          <w:rFonts w:ascii="Calibri" w:hAnsi="Calibri"/>
          <w:b/>
          <w:bCs/>
        </w:rPr>
        <w:t>Year 10</w:t>
      </w:r>
      <w:r w:rsidRPr="006924D9">
        <w:rPr>
          <w:rFonts w:ascii="Calibri" w:hAnsi="Calibri"/>
          <w:b/>
          <w:bCs/>
        </w:rPr>
        <w:t xml:space="preserve">  </w:t>
      </w:r>
    </w:p>
    <w:p w14:paraId="1C690DB0" w14:textId="77777777" w:rsidR="00BF75A3" w:rsidRPr="006924D9" w:rsidRDefault="00652B2B" w:rsidP="006924D9">
      <w:pPr>
        <w:spacing w:after="0" w:line="240" w:lineRule="auto"/>
        <w:ind w:left="720"/>
        <w:rPr>
          <w:rFonts w:ascii="Calibri" w:hAnsi="Calibri"/>
          <w:b/>
        </w:rPr>
      </w:pPr>
      <w:r w:rsidRPr="006924D9">
        <w:rPr>
          <w:rFonts w:ascii="Calibri" w:hAnsi="Calibri"/>
          <w:b/>
          <w:bCs/>
        </w:rPr>
        <w:t>As a cohort overall, Year 10 are currently predicted to achieve a P8 score of +0.13, consistent with the predictions made</w:t>
      </w:r>
      <w:r w:rsidRPr="006924D9">
        <w:rPr>
          <w:rFonts w:ascii="Calibri" w:hAnsi="Calibri"/>
          <w:b/>
          <w:bCs/>
        </w:rPr>
        <w:t xml:space="preserve"> in the spring term (+0.14).</w:t>
      </w:r>
    </w:p>
    <w:p w14:paraId="1C690DB1" w14:textId="77777777" w:rsidR="00BF75A3" w:rsidRPr="006924D9" w:rsidRDefault="00652B2B">
      <w:pPr>
        <w:pStyle w:val="ListParagraph"/>
        <w:numPr>
          <w:ilvl w:val="0"/>
          <w:numId w:val="12"/>
        </w:numPr>
        <w:spacing w:after="0" w:line="240" w:lineRule="auto"/>
        <w:rPr>
          <w:rFonts w:ascii="Calibri" w:hAnsi="Calibri"/>
        </w:rPr>
      </w:pPr>
      <w:r w:rsidRPr="006924D9">
        <w:rPr>
          <w:rFonts w:ascii="Calibri" w:hAnsi="Calibri"/>
        </w:rPr>
        <w:t>R</w:t>
      </w:r>
      <w:r w:rsidRPr="006924D9">
        <w:rPr>
          <w:rFonts w:ascii="Calibri" w:hAnsi="Calibri"/>
        </w:rPr>
        <w:t>ecent predictions made for Year 10 show the disadvantaged students (18 pupils) with an estimated progress score of -0.34. This was against the non-disadvantaged (168 pupils) figure of +0.18.</w:t>
      </w:r>
    </w:p>
    <w:p w14:paraId="1C690DB2" w14:textId="77777777" w:rsidR="00BF75A3" w:rsidRPr="006924D9" w:rsidRDefault="00652B2B">
      <w:pPr>
        <w:pStyle w:val="ListParagraph"/>
        <w:numPr>
          <w:ilvl w:val="0"/>
          <w:numId w:val="12"/>
        </w:numPr>
        <w:spacing w:after="0" w:line="240" w:lineRule="auto"/>
        <w:rPr>
          <w:rFonts w:ascii="Calibri" w:hAnsi="Calibri"/>
        </w:rPr>
      </w:pPr>
      <w:r w:rsidRPr="006924D9">
        <w:rPr>
          <w:rFonts w:ascii="Calibri" w:hAnsi="Calibri"/>
        </w:rPr>
        <w:t xml:space="preserve">Therefore, there was a gap between </w:t>
      </w:r>
      <w:r w:rsidRPr="006924D9">
        <w:rPr>
          <w:rFonts w:ascii="Calibri" w:hAnsi="Calibri"/>
        </w:rPr>
        <w:t>the Non Disadvantaged and Disadvantaged is -0.52. This has gap was consistent with the predictions made in the spring term where the gap was the same.</w:t>
      </w:r>
    </w:p>
    <w:p w14:paraId="1C690DB3" w14:textId="77777777" w:rsidR="00BF75A3" w:rsidRPr="006924D9" w:rsidRDefault="00652B2B">
      <w:pPr>
        <w:pStyle w:val="ListParagraph"/>
        <w:numPr>
          <w:ilvl w:val="0"/>
          <w:numId w:val="12"/>
        </w:numPr>
        <w:spacing w:after="0" w:line="240" w:lineRule="auto"/>
        <w:rPr>
          <w:rFonts w:ascii="Calibri" w:hAnsi="Calibri"/>
        </w:rPr>
      </w:pPr>
      <w:r w:rsidRPr="006924D9">
        <w:rPr>
          <w:rFonts w:ascii="Calibri" w:hAnsi="Calibri"/>
        </w:rPr>
        <w:t xml:space="preserve">There are 0 disadvantaged pupils in the lower ability band. </w:t>
      </w:r>
    </w:p>
    <w:p w14:paraId="1C690DB4" w14:textId="77777777" w:rsidR="00BF75A3" w:rsidRPr="006924D9" w:rsidRDefault="00652B2B">
      <w:pPr>
        <w:pStyle w:val="ListParagraph"/>
        <w:numPr>
          <w:ilvl w:val="0"/>
          <w:numId w:val="12"/>
        </w:numPr>
        <w:spacing w:after="0" w:line="240" w:lineRule="auto"/>
        <w:rPr>
          <w:rFonts w:ascii="Calibri" w:hAnsi="Calibri"/>
        </w:rPr>
      </w:pPr>
      <w:r w:rsidRPr="006924D9">
        <w:rPr>
          <w:rFonts w:ascii="Calibri" w:hAnsi="Calibri"/>
        </w:rPr>
        <w:t>The disadvantaged middle ability students (9</w:t>
      </w:r>
      <w:r w:rsidRPr="006924D9">
        <w:rPr>
          <w:rFonts w:ascii="Calibri" w:hAnsi="Calibri"/>
        </w:rPr>
        <w:t xml:space="preserve"> students) have a negative P8 prediction, (-0.54) as their non-disadvantaged peers (58 students) (+0.15). </w:t>
      </w:r>
    </w:p>
    <w:p w14:paraId="1C690DB5" w14:textId="77777777" w:rsidR="00BF75A3" w:rsidRPr="006924D9" w:rsidRDefault="00652B2B">
      <w:pPr>
        <w:pStyle w:val="ListParagraph"/>
        <w:numPr>
          <w:ilvl w:val="0"/>
          <w:numId w:val="12"/>
        </w:numPr>
        <w:spacing w:after="0" w:line="240" w:lineRule="auto"/>
        <w:rPr>
          <w:rFonts w:ascii="Calibri" w:hAnsi="Calibri"/>
        </w:rPr>
      </w:pPr>
      <w:r w:rsidRPr="006924D9">
        <w:rPr>
          <w:rFonts w:ascii="Calibri" w:hAnsi="Calibri"/>
        </w:rPr>
        <w:t>The disadvantaged upper ability students (8 students) -0.12 are also below their non-disadvantaged peers (101 students) +0.19. This has gap was consi</w:t>
      </w:r>
      <w:r w:rsidRPr="006924D9">
        <w:rPr>
          <w:rFonts w:ascii="Calibri" w:hAnsi="Calibri"/>
        </w:rPr>
        <w:t>stent with the predictions made in the spring term where the gap was the same.</w:t>
      </w:r>
    </w:p>
    <w:p w14:paraId="1C690DB6" w14:textId="77777777" w:rsidR="00BF75A3" w:rsidRPr="006924D9" w:rsidRDefault="00BF75A3">
      <w:pPr>
        <w:rPr>
          <w:rFonts w:ascii="Calibri" w:hAnsi="Calibri"/>
          <w:b/>
        </w:rPr>
      </w:pPr>
    </w:p>
    <w:p w14:paraId="1C690DB7" w14:textId="77777777" w:rsidR="00BF75A3" w:rsidRPr="00652B2B" w:rsidRDefault="00652B2B">
      <w:pPr>
        <w:rPr>
          <w:rFonts w:ascii="Calibri" w:hAnsi="Calibri"/>
          <w:b/>
          <w:u w:val="single"/>
        </w:rPr>
      </w:pPr>
      <w:r w:rsidRPr="00652B2B">
        <w:rPr>
          <w:rFonts w:ascii="Calibri" w:hAnsi="Calibri"/>
          <w:b/>
          <w:u w:val="single"/>
        </w:rPr>
        <w:t>Key Stage 3</w:t>
      </w:r>
    </w:p>
    <w:p w14:paraId="1C690DB8" w14:textId="77777777" w:rsidR="00BF75A3" w:rsidRPr="006924D9" w:rsidRDefault="00652B2B">
      <w:pPr>
        <w:rPr>
          <w:rFonts w:ascii="Calibri" w:hAnsi="Calibri"/>
          <w:b/>
        </w:rPr>
      </w:pPr>
      <w:r w:rsidRPr="006924D9">
        <w:rPr>
          <w:rFonts w:ascii="Calibri" w:hAnsi="Calibri"/>
          <w:b/>
        </w:rPr>
        <w:t>Year 9</w:t>
      </w:r>
    </w:p>
    <w:p w14:paraId="1C690DB9" w14:textId="77777777" w:rsidR="00BF75A3" w:rsidRPr="006924D9" w:rsidRDefault="00652B2B" w:rsidP="006924D9">
      <w:pPr>
        <w:spacing w:after="0" w:line="240" w:lineRule="auto"/>
        <w:ind w:left="720"/>
        <w:rPr>
          <w:rFonts w:ascii="Calibri" w:hAnsi="Calibri"/>
          <w:b/>
        </w:rPr>
      </w:pPr>
      <w:r w:rsidRPr="006924D9">
        <w:rPr>
          <w:rFonts w:ascii="Calibri" w:hAnsi="Calibri"/>
          <w:b/>
        </w:rPr>
        <w:t xml:space="preserve">As a cohort overall, year 9 are currently predicted to achieve a VA score of +0.16 against their FFT flight path targets. </w:t>
      </w:r>
    </w:p>
    <w:p w14:paraId="1C690DBA" w14:textId="77777777" w:rsidR="00BF75A3" w:rsidRPr="006924D9" w:rsidRDefault="00652B2B">
      <w:pPr>
        <w:pStyle w:val="ListParagraph"/>
        <w:numPr>
          <w:ilvl w:val="0"/>
          <w:numId w:val="12"/>
        </w:numPr>
        <w:spacing w:after="0" w:line="240" w:lineRule="auto"/>
        <w:rPr>
          <w:rFonts w:ascii="Calibri" w:hAnsi="Calibri"/>
        </w:rPr>
      </w:pPr>
      <w:r w:rsidRPr="006924D9">
        <w:rPr>
          <w:rFonts w:ascii="Calibri" w:hAnsi="Calibri"/>
        </w:rPr>
        <w:t>T</w:t>
      </w:r>
      <w:r w:rsidRPr="006924D9">
        <w:rPr>
          <w:rFonts w:ascii="Calibri" w:hAnsi="Calibri"/>
        </w:rPr>
        <w:t>he current predictions for progre</w:t>
      </w:r>
      <w:r w:rsidRPr="006924D9">
        <w:rPr>
          <w:rFonts w:ascii="Calibri" w:hAnsi="Calibri"/>
        </w:rPr>
        <w:t>ss for Year 9 show the disadvantaged students (25 pupils) at +0.14 against their targets. This is against the non-disadvantaged (164 pupils) figure of +0.16</w:t>
      </w:r>
    </w:p>
    <w:p w14:paraId="1C690DBB" w14:textId="77777777" w:rsidR="00BF75A3" w:rsidRPr="006924D9" w:rsidRDefault="00652B2B">
      <w:pPr>
        <w:pStyle w:val="ListParagraph"/>
        <w:numPr>
          <w:ilvl w:val="0"/>
          <w:numId w:val="12"/>
        </w:numPr>
        <w:spacing w:after="0" w:line="240" w:lineRule="auto"/>
        <w:rPr>
          <w:rFonts w:ascii="Calibri" w:hAnsi="Calibri"/>
        </w:rPr>
      </w:pPr>
      <w:r w:rsidRPr="006924D9">
        <w:rPr>
          <w:rFonts w:ascii="Calibri" w:hAnsi="Calibri"/>
        </w:rPr>
        <w:t xml:space="preserve">Therefore, the gap between the non-disadvantaged and disadvantaged is -0.01. </w:t>
      </w:r>
    </w:p>
    <w:p w14:paraId="1C690DBC" w14:textId="77777777" w:rsidR="00BF75A3" w:rsidRPr="006924D9" w:rsidRDefault="00BF75A3">
      <w:pPr>
        <w:pStyle w:val="ListParagraph"/>
        <w:rPr>
          <w:rFonts w:ascii="Calibri" w:hAnsi="Calibri"/>
        </w:rPr>
      </w:pPr>
    </w:p>
    <w:p w14:paraId="1C690DBD" w14:textId="77777777" w:rsidR="00BF75A3" w:rsidRPr="006924D9" w:rsidRDefault="00652B2B">
      <w:pPr>
        <w:rPr>
          <w:rFonts w:ascii="Calibri" w:hAnsi="Calibri"/>
          <w:b/>
        </w:rPr>
      </w:pPr>
      <w:r w:rsidRPr="006924D9">
        <w:rPr>
          <w:rFonts w:ascii="Calibri" w:hAnsi="Calibri"/>
          <w:b/>
        </w:rPr>
        <w:t>Year 8</w:t>
      </w:r>
    </w:p>
    <w:p w14:paraId="1C690DBE" w14:textId="77777777" w:rsidR="00BF75A3" w:rsidRPr="006924D9" w:rsidRDefault="00652B2B" w:rsidP="006924D9">
      <w:pPr>
        <w:spacing w:after="0" w:line="240" w:lineRule="auto"/>
        <w:ind w:left="720"/>
        <w:rPr>
          <w:rFonts w:ascii="Calibri" w:hAnsi="Calibri"/>
          <w:b/>
        </w:rPr>
      </w:pPr>
      <w:r w:rsidRPr="006924D9">
        <w:rPr>
          <w:rFonts w:ascii="Calibri" w:hAnsi="Calibri"/>
          <w:b/>
        </w:rPr>
        <w:t>As a cohort o</w:t>
      </w:r>
      <w:r w:rsidRPr="006924D9">
        <w:rPr>
          <w:rFonts w:ascii="Calibri" w:hAnsi="Calibri"/>
          <w:b/>
        </w:rPr>
        <w:t>verall, year 8 are currently predicted to achieve a VA score of +0.13 against their FFT flight path targets.</w:t>
      </w:r>
    </w:p>
    <w:p w14:paraId="1C690DBF" w14:textId="77777777" w:rsidR="00BF75A3" w:rsidRPr="006924D9" w:rsidRDefault="00652B2B">
      <w:pPr>
        <w:pStyle w:val="ListParagraph"/>
        <w:numPr>
          <w:ilvl w:val="0"/>
          <w:numId w:val="12"/>
        </w:numPr>
        <w:spacing w:after="0" w:line="240" w:lineRule="auto"/>
        <w:rPr>
          <w:rFonts w:ascii="Calibri" w:hAnsi="Calibri"/>
        </w:rPr>
      </w:pPr>
      <w:r w:rsidRPr="006924D9">
        <w:rPr>
          <w:rFonts w:ascii="Calibri" w:hAnsi="Calibri"/>
        </w:rPr>
        <w:t>T</w:t>
      </w:r>
      <w:r w:rsidRPr="006924D9">
        <w:rPr>
          <w:rFonts w:ascii="Calibri" w:hAnsi="Calibri"/>
        </w:rPr>
        <w:t xml:space="preserve">he current predictions for progress for Year 8 show the disadvantaged students (34 pupils) at +0.05 against their targets. This is against the non-disadvantaged (153 pupils) figure of +0.15. </w:t>
      </w:r>
    </w:p>
    <w:p w14:paraId="1C690DC0" w14:textId="77777777" w:rsidR="00BF75A3" w:rsidRPr="006924D9" w:rsidRDefault="00652B2B">
      <w:pPr>
        <w:pStyle w:val="ListParagraph"/>
        <w:numPr>
          <w:ilvl w:val="0"/>
          <w:numId w:val="12"/>
        </w:numPr>
        <w:spacing w:after="0" w:line="240" w:lineRule="auto"/>
        <w:rPr>
          <w:rFonts w:ascii="Calibri" w:hAnsi="Calibri"/>
        </w:rPr>
      </w:pPr>
      <w:r w:rsidRPr="006924D9">
        <w:rPr>
          <w:rFonts w:ascii="Calibri" w:hAnsi="Calibri"/>
        </w:rPr>
        <w:t>Therefore, there is a gap of a tenth of a grade between the dis</w:t>
      </w:r>
      <w:r w:rsidRPr="006924D9">
        <w:rPr>
          <w:rFonts w:ascii="Calibri" w:hAnsi="Calibri"/>
        </w:rPr>
        <w:t>advantaged and non-disadvantaged.</w:t>
      </w:r>
    </w:p>
    <w:p w14:paraId="1C690DC1" w14:textId="77777777" w:rsidR="00BF75A3" w:rsidRPr="006924D9" w:rsidRDefault="00BF75A3">
      <w:pPr>
        <w:pStyle w:val="ListParagraph"/>
        <w:spacing w:after="0" w:line="240" w:lineRule="auto"/>
        <w:rPr>
          <w:rFonts w:ascii="Calibri" w:hAnsi="Calibri"/>
        </w:rPr>
      </w:pPr>
    </w:p>
    <w:p w14:paraId="1C690DC2" w14:textId="77777777" w:rsidR="00BF75A3" w:rsidRPr="006924D9" w:rsidRDefault="00652B2B">
      <w:pPr>
        <w:rPr>
          <w:rFonts w:ascii="Calibri" w:hAnsi="Calibri"/>
          <w:b/>
        </w:rPr>
      </w:pPr>
      <w:r w:rsidRPr="006924D9">
        <w:rPr>
          <w:rFonts w:ascii="Calibri" w:hAnsi="Calibri"/>
          <w:b/>
        </w:rPr>
        <w:t>Year 7</w:t>
      </w:r>
    </w:p>
    <w:p w14:paraId="1C690DC3" w14:textId="77777777" w:rsidR="00BF75A3" w:rsidRPr="006924D9" w:rsidRDefault="00652B2B">
      <w:pPr>
        <w:pStyle w:val="ListParagraph"/>
        <w:numPr>
          <w:ilvl w:val="0"/>
          <w:numId w:val="14"/>
        </w:numPr>
        <w:spacing w:after="0" w:line="240" w:lineRule="auto"/>
        <w:rPr>
          <w:rFonts w:ascii="Calibri" w:hAnsi="Calibri"/>
          <w:b/>
        </w:rPr>
      </w:pPr>
      <w:r w:rsidRPr="006924D9">
        <w:rPr>
          <w:rFonts w:ascii="Calibri" w:hAnsi="Calibri"/>
          <w:b/>
        </w:rPr>
        <w:t>As a cohort overall, year 7 are currently predicted to achieve a VA score of +0.10 against their FFT flight path targets.</w:t>
      </w:r>
    </w:p>
    <w:p w14:paraId="1C690DC5" w14:textId="77777777" w:rsidR="00BF75A3" w:rsidRPr="006924D9" w:rsidRDefault="00652B2B">
      <w:pPr>
        <w:pStyle w:val="ListParagraph"/>
        <w:numPr>
          <w:ilvl w:val="0"/>
          <w:numId w:val="12"/>
        </w:numPr>
        <w:spacing w:after="0" w:line="240" w:lineRule="auto"/>
        <w:rPr>
          <w:rFonts w:ascii="Calibri" w:hAnsi="Calibri"/>
        </w:rPr>
      </w:pPr>
      <w:r w:rsidRPr="006924D9">
        <w:rPr>
          <w:rFonts w:ascii="Calibri" w:hAnsi="Calibri"/>
        </w:rPr>
        <w:t>The current predictions for progress for Year 7 show the disadvantaged students (34 pupils)</w:t>
      </w:r>
      <w:r w:rsidRPr="006924D9">
        <w:rPr>
          <w:rFonts w:ascii="Calibri" w:hAnsi="Calibri"/>
        </w:rPr>
        <w:t xml:space="preserve"> at +0.08 against their targets. </w:t>
      </w:r>
    </w:p>
    <w:p w14:paraId="1C690DC6" w14:textId="77777777" w:rsidR="00BF75A3" w:rsidRPr="006924D9" w:rsidRDefault="00652B2B">
      <w:pPr>
        <w:pStyle w:val="ListParagraph"/>
        <w:rPr>
          <w:rFonts w:ascii="Calibri" w:hAnsi="Calibri"/>
        </w:rPr>
      </w:pPr>
      <w:r w:rsidRPr="006924D9">
        <w:rPr>
          <w:rFonts w:ascii="Calibri" w:hAnsi="Calibri"/>
        </w:rPr>
        <w:t>The non-disadvantaged (154 pupils) also have a similar predicted performance of +0.11</w:t>
      </w:r>
    </w:p>
    <w:p w14:paraId="1C690DC7" w14:textId="77777777" w:rsidR="00BF75A3" w:rsidRPr="006924D9" w:rsidRDefault="00BF75A3">
      <w:pPr>
        <w:pStyle w:val="ListParagraph"/>
        <w:rPr>
          <w:rFonts w:ascii="Calibri" w:hAnsi="Calibri"/>
        </w:rPr>
      </w:pPr>
    </w:p>
    <w:p w14:paraId="1C690DC8" w14:textId="77777777" w:rsidR="00BF75A3" w:rsidRPr="006924D9" w:rsidRDefault="00652B2B">
      <w:pPr>
        <w:rPr>
          <w:rFonts w:ascii="Calibri" w:hAnsi="Calibri" w:cs="Arial"/>
          <w:b/>
        </w:rPr>
      </w:pPr>
      <w:r w:rsidRPr="006924D9">
        <w:rPr>
          <w:rFonts w:ascii="Calibri" w:hAnsi="Calibri" w:cs="Arial"/>
          <w:b/>
        </w:rPr>
        <w:t>Conclusions</w:t>
      </w:r>
    </w:p>
    <w:p w14:paraId="1C690DC9" w14:textId="77777777" w:rsidR="00BF75A3" w:rsidRPr="006924D9" w:rsidRDefault="00652B2B">
      <w:pPr>
        <w:pStyle w:val="ListParagraph"/>
        <w:numPr>
          <w:ilvl w:val="0"/>
          <w:numId w:val="12"/>
        </w:numPr>
        <w:spacing w:after="0" w:line="240" w:lineRule="auto"/>
        <w:rPr>
          <w:rFonts w:ascii="Calibri" w:hAnsi="Calibri" w:cs="Arial"/>
        </w:rPr>
      </w:pPr>
      <w:r w:rsidRPr="006924D9">
        <w:rPr>
          <w:rFonts w:ascii="Calibri" w:hAnsi="Calibri" w:cs="Arial"/>
        </w:rPr>
        <w:t>There is less variation in achievement of disadvantaged students across the subjects in Key stage 3 with all year groups pr</w:t>
      </w:r>
      <w:r w:rsidRPr="006924D9">
        <w:rPr>
          <w:rFonts w:ascii="Calibri" w:hAnsi="Calibri" w:cs="Arial"/>
        </w:rPr>
        <w:t>edicted to secure strong outcomes.</w:t>
      </w:r>
    </w:p>
    <w:p w14:paraId="1C690DCA" w14:textId="77777777" w:rsidR="00BF75A3" w:rsidRPr="006924D9" w:rsidRDefault="00652B2B">
      <w:pPr>
        <w:pStyle w:val="ListParagraph"/>
        <w:numPr>
          <w:ilvl w:val="0"/>
          <w:numId w:val="12"/>
        </w:numPr>
        <w:spacing w:after="0" w:line="240" w:lineRule="auto"/>
        <w:rPr>
          <w:rFonts w:ascii="Calibri" w:hAnsi="Calibri" w:cs="Arial"/>
        </w:rPr>
      </w:pPr>
      <w:r w:rsidRPr="006924D9">
        <w:rPr>
          <w:rFonts w:ascii="Calibri" w:hAnsi="Calibri" w:cs="Arial"/>
        </w:rPr>
        <w:t xml:space="preserve"> Year 11 results considerably narrowed the gap between actual results and those predicted in the spring. The impact of Intervention Strategies can be seen in this reduction of the gap.</w:t>
      </w:r>
    </w:p>
    <w:p w14:paraId="1C690DCB" w14:textId="77777777" w:rsidR="00BF75A3" w:rsidRPr="006924D9" w:rsidRDefault="00652B2B">
      <w:pPr>
        <w:pStyle w:val="ListParagraph"/>
        <w:numPr>
          <w:ilvl w:val="0"/>
          <w:numId w:val="12"/>
        </w:numPr>
        <w:spacing w:after="0" w:line="240" w:lineRule="auto"/>
        <w:rPr>
          <w:rFonts w:ascii="Calibri" w:hAnsi="Calibri" w:cs="Arial"/>
        </w:rPr>
      </w:pPr>
      <w:r w:rsidRPr="006924D9">
        <w:rPr>
          <w:rFonts w:ascii="Calibri" w:hAnsi="Calibri" w:cs="Arial"/>
        </w:rPr>
        <w:t>The use of PiXL strategies has moved</w:t>
      </w:r>
      <w:r w:rsidRPr="006924D9">
        <w:rPr>
          <w:rFonts w:ascii="Calibri" w:hAnsi="Calibri" w:cs="Arial"/>
        </w:rPr>
        <w:t xml:space="preserve"> forward methods of intervention.</w:t>
      </w:r>
    </w:p>
    <w:p w14:paraId="1C690DCC" w14:textId="77777777" w:rsidR="00BF75A3" w:rsidRPr="006924D9" w:rsidRDefault="00652B2B">
      <w:pPr>
        <w:pStyle w:val="ListParagraph"/>
        <w:numPr>
          <w:ilvl w:val="0"/>
          <w:numId w:val="12"/>
        </w:numPr>
        <w:spacing w:after="0" w:line="240" w:lineRule="auto"/>
        <w:rPr>
          <w:rFonts w:ascii="Calibri" w:hAnsi="Calibri"/>
        </w:rPr>
      </w:pPr>
      <w:r w:rsidRPr="006924D9">
        <w:rPr>
          <w:rFonts w:ascii="Calibri" w:hAnsi="Calibri"/>
        </w:rPr>
        <w:t xml:space="preserve">The school has made an impact with methods and strategies for intervention that has been deployed with pupils since September. </w:t>
      </w:r>
    </w:p>
    <w:p w14:paraId="1C690DCD" w14:textId="77777777" w:rsidR="00BF75A3" w:rsidRPr="006924D9" w:rsidRDefault="00652B2B">
      <w:pPr>
        <w:pStyle w:val="ListParagraph"/>
        <w:numPr>
          <w:ilvl w:val="0"/>
          <w:numId w:val="12"/>
        </w:numPr>
        <w:spacing w:after="0" w:line="240" w:lineRule="auto"/>
        <w:rPr>
          <w:rFonts w:ascii="Calibri" w:hAnsi="Calibri"/>
        </w:rPr>
      </w:pPr>
      <w:r w:rsidRPr="006924D9">
        <w:rPr>
          <w:rFonts w:ascii="Calibri" w:hAnsi="Calibri"/>
        </w:rPr>
        <w:t>The school is continually looking to foster the philosophy of prevention equals effective inte</w:t>
      </w:r>
      <w:r w:rsidRPr="006924D9">
        <w:rPr>
          <w:rFonts w:ascii="Calibri" w:hAnsi="Calibri"/>
        </w:rPr>
        <w:t>rvention. CPD has taken place on this as well as a continued focus on strategies in CLT Meetings. Departments are being encouraged to adapt teaching and learning, planning and assessment to address the individual needs of learners as they arise.</w:t>
      </w:r>
    </w:p>
    <w:p w14:paraId="1C690DCE" w14:textId="77777777" w:rsidR="00BF75A3" w:rsidRDefault="00BF75A3">
      <w:pPr>
        <w:pStyle w:val="ListParagraph"/>
        <w:rPr>
          <w:rFonts w:asciiTheme="majorHAnsi" w:hAnsiTheme="majorHAnsi"/>
        </w:rPr>
      </w:pPr>
    </w:p>
    <w:p w14:paraId="1C690DCF" w14:textId="77777777" w:rsidR="00BF75A3" w:rsidRDefault="00BF75A3">
      <w:pPr>
        <w:rPr>
          <w:rFonts w:ascii="Arial" w:hAnsi="Arial" w:cs="Arial"/>
          <w:b/>
          <w:sz w:val="24"/>
          <w:szCs w:val="24"/>
        </w:rPr>
      </w:pPr>
    </w:p>
    <w:sectPr w:rsidR="00BF75A3">
      <w:headerReference w:type="even" r:id="rId13"/>
      <w:headerReference w:type="default" r:id="rId14"/>
      <w:footerReference w:type="even" r:id="rId15"/>
      <w:footerReference w:type="default" r:id="rId16"/>
      <w:headerReference w:type="first" r:id="rId17"/>
      <w:footerReference w:type="first" r:id="rId18"/>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90DD8" w14:textId="77777777" w:rsidR="00BF75A3" w:rsidRDefault="00652B2B">
      <w:pPr>
        <w:spacing w:after="0" w:line="240" w:lineRule="auto"/>
      </w:pPr>
      <w:r>
        <w:separator/>
      </w:r>
    </w:p>
  </w:endnote>
  <w:endnote w:type="continuationSeparator" w:id="0">
    <w:p w14:paraId="1C690DD9" w14:textId="77777777" w:rsidR="00BF75A3" w:rsidRDefault="0065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90DDC" w14:textId="77777777" w:rsidR="00BF75A3" w:rsidRDefault="00BF7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132533"/>
      <w:docPartObj>
        <w:docPartGallery w:val="Page Numbers (Bottom of Page)"/>
        <w:docPartUnique/>
      </w:docPartObj>
    </w:sdtPr>
    <w:sdtEndPr>
      <w:rPr>
        <w:noProof/>
      </w:rPr>
    </w:sdtEndPr>
    <w:sdtContent>
      <w:p w14:paraId="1C690DDD" w14:textId="77777777" w:rsidR="00BF75A3" w:rsidRDefault="00652B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690DDE" w14:textId="77777777" w:rsidR="00BF75A3" w:rsidRDefault="00BF75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90DE0" w14:textId="77777777" w:rsidR="00BF75A3" w:rsidRDefault="00BF7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90DD6" w14:textId="77777777" w:rsidR="00BF75A3" w:rsidRDefault="00652B2B">
      <w:pPr>
        <w:spacing w:after="0" w:line="240" w:lineRule="auto"/>
      </w:pPr>
      <w:r>
        <w:separator/>
      </w:r>
    </w:p>
  </w:footnote>
  <w:footnote w:type="continuationSeparator" w:id="0">
    <w:p w14:paraId="1C690DD7" w14:textId="77777777" w:rsidR="00BF75A3" w:rsidRDefault="00652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90DDA" w14:textId="77777777" w:rsidR="00BF75A3" w:rsidRDefault="00BF7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90DDB" w14:textId="77777777" w:rsidR="00BF75A3" w:rsidRDefault="00BF75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90DDF" w14:textId="77777777" w:rsidR="00BF75A3" w:rsidRDefault="00BF7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D19F2"/>
    <w:multiLevelType w:val="hybridMultilevel"/>
    <w:tmpl w:val="3E62B5A6"/>
    <w:lvl w:ilvl="0" w:tplc="5E60EE96">
      <w:start w:val="26"/>
      <w:numFmt w:val="bullet"/>
      <w:lvlText w:val="-"/>
      <w:lvlJc w:val="left"/>
      <w:pPr>
        <w:ind w:left="1080" w:hanging="360"/>
      </w:pPr>
      <w:rPr>
        <w:rFonts w:ascii="Calibri Light" w:eastAsiaTheme="minorEastAsia" w:hAnsi="Calibri Ligh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105F10"/>
    <w:multiLevelType w:val="hybridMultilevel"/>
    <w:tmpl w:val="854C268A"/>
    <w:lvl w:ilvl="0" w:tplc="5E60EE96">
      <w:start w:val="26"/>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72530"/>
    <w:multiLevelType w:val="hybridMultilevel"/>
    <w:tmpl w:val="92368D18"/>
    <w:lvl w:ilvl="0" w:tplc="5E60EE96">
      <w:start w:val="26"/>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57B77"/>
    <w:multiLevelType w:val="hybridMultilevel"/>
    <w:tmpl w:val="BEE274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91B45"/>
    <w:multiLevelType w:val="hybridMultilevel"/>
    <w:tmpl w:val="D3F85D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A711D"/>
    <w:multiLevelType w:val="hybridMultilevel"/>
    <w:tmpl w:val="F2BA5C5E"/>
    <w:lvl w:ilvl="0" w:tplc="F098ACC0">
      <w:start w:val="1"/>
      <w:numFmt w:val="decimal"/>
      <w:lvlText w:val="%1."/>
      <w:lvlJc w:val="left"/>
      <w:pPr>
        <w:ind w:left="1800" w:hanging="360"/>
      </w:pPr>
      <w:rPr>
        <w:rFonts w:asciiTheme="minorHAnsi" w:eastAsiaTheme="minorHAnsi" w:hAnsiTheme="minorHAnsi" w:cstheme="minorBid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EC2635E"/>
    <w:multiLevelType w:val="hybridMultilevel"/>
    <w:tmpl w:val="9DDA22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65130C"/>
    <w:multiLevelType w:val="hybridMultilevel"/>
    <w:tmpl w:val="AFB8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0341F2"/>
    <w:multiLevelType w:val="hybridMultilevel"/>
    <w:tmpl w:val="41C6C88C"/>
    <w:lvl w:ilvl="0" w:tplc="FFFFFFFF">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9E1122"/>
    <w:multiLevelType w:val="hybridMultilevel"/>
    <w:tmpl w:val="CCE4F2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195611"/>
    <w:multiLevelType w:val="hybridMultilevel"/>
    <w:tmpl w:val="B0D0CE9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4D69A8"/>
    <w:multiLevelType w:val="hybridMultilevel"/>
    <w:tmpl w:val="5AC0EF7E"/>
    <w:lvl w:ilvl="0" w:tplc="FFFFFFFF">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8C65CB"/>
    <w:multiLevelType w:val="hybridMultilevel"/>
    <w:tmpl w:val="CBDC3A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171C46"/>
    <w:multiLevelType w:val="hybridMultilevel"/>
    <w:tmpl w:val="E474BE28"/>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79CB3F37"/>
    <w:multiLevelType w:val="hybridMultilevel"/>
    <w:tmpl w:val="9F062E90"/>
    <w:lvl w:ilvl="0" w:tplc="5E60EE96">
      <w:start w:val="26"/>
      <w:numFmt w:val="bullet"/>
      <w:lvlText w:val="-"/>
      <w:lvlJc w:val="left"/>
      <w:pPr>
        <w:ind w:left="1080" w:hanging="360"/>
      </w:pPr>
      <w:rPr>
        <w:rFonts w:ascii="Calibri Light" w:eastAsiaTheme="minorEastAsia" w:hAnsi="Calibri Ligh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4"/>
  </w:num>
  <w:num w:numId="3">
    <w:abstractNumId w:val="6"/>
  </w:num>
  <w:num w:numId="4">
    <w:abstractNumId w:val="3"/>
  </w:num>
  <w:num w:numId="5">
    <w:abstractNumId w:val="9"/>
  </w:num>
  <w:num w:numId="6">
    <w:abstractNumId w:val="10"/>
  </w:num>
  <w:num w:numId="7">
    <w:abstractNumId w:val="5"/>
  </w:num>
  <w:num w:numId="8">
    <w:abstractNumId w:val="7"/>
  </w:num>
  <w:num w:numId="9">
    <w:abstractNumId w:val="11"/>
  </w:num>
  <w:num w:numId="10">
    <w:abstractNumId w:val="8"/>
  </w:num>
  <w:num w:numId="11">
    <w:abstractNumId w:val="14"/>
  </w:num>
  <w:num w:numId="12">
    <w:abstractNumId w:val="1"/>
  </w:num>
  <w:num w:numId="13">
    <w:abstractNumId w:val="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5A3"/>
    <w:rsid w:val="00652B2B"/>
    <w:rsid w:val="006924D9"/>
    <w:rsid w:val="00BF7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690C5A"/>
  <w15:docId w15:val="{D0E2B875-D8C1-45D2-840B-EC0C31EC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7723">
      <w:bodyDiv w:val="1"/>
      <w:marLeft w:val="0"/>
      <w:marRight w:val="0"/>
      <w:marTop w:val="0"/>
      <w:marBottom w:val="0"/>
      <w:divBdr>
        <w:top w:val="none" w:sz="0" w:space="0" w:color="auto"/>
        <w:left w:val="none" w:sz="0" w:space="0" w:color="auto"/>
        <w:bottom w:val="none" w:sz="0" w:space="0" w:color="auto"/>
        <w:right w:val="none" w:sz="0" w:space="0" w:color="auto"/>
      </w:divBdr>
    </w:div>
    <w:div w:id="264387197">
      <w:bodyDiv w:val="1"/>
      <w:marLeft w:val="0"/>
      <w:marRight w:val="0"/>
      <w:marTop w:val="0"/>
      <w:marBottom w:val="0"/>
      <w:divBdr>
        <w:top w:val="none" w:sz="0" w:space="0" w:color="auto"/>
        <w:left w:val="none" w:sz="0" w:space="0" w:color="auto"/>
        <w:bottom w:val="none" w:sz="0" w:space="0" w:color="auto"/>
        <w:right w:val="none" w:sz="0" w:space="0" w:color="auto"/>
      </w:divBdr>
    </w:div>
    <w:div w:id="266348671">
      <w:bodyDiv w:val="1"/>
      <w:marLeft w:val="0"/>
      <w:marRight w:val="0"/>
      <w:marTop w:val="0"/>
      <w:marBottom w:val="0"/>
      <w:divBdr>
        <w:top w:val="none" w:sz="0" w:space="0" w:color="auto"/>
        <w:left w:val="none" w:sz="0" w:space="0" w:color="auto"/>
        <w:bottom w:val="none" w:sz="0" w:space="0" w:color="auto"/>
        <w:right w:val="none" w:sz="0" w:space="0" w:color="auto"/>
      </w:divBdr>
    </w:div>
    <w:div w:id="401636859">
      <w:bodyDiv w:val="1"/>
      <w:marLeft w:val="0"/>
      <w:marRight w:val="0"/>
      <w:marTop w:val="0"/>
      <w:marBottom w:val="0"/>
      <w:divBdr>
        <w:top w:val="none" w:sz="0" w:space="0" w:color="auto"/>
        <w:left w:val="none" w:sz="0" w:space="0" w:color="auto"/>
        <w:bottom w:val="none" w:sz="0" w:space="0" w:color="auto"/>
        <w:right w:val="none" w:sz="0" w:space="0" w:color="auto"/>
      </w:divBdr>
    </w:div>
    <w:div w:id="612589790">
      <w:bodyDiv w:val="1"/>
      <w:marLeft w:val="0"/>
      <w:marRight w:val="0"/>
      <w:marTop w:val="0"/>
      <w:marBottom w:val="0"/>
      <w:divBdr>
        <w:top w:val="none" w:sz="0" w:space="0" w:color="auto"/>
        <w:left w:val="none" w:sz="0" w:space="0" w:color="auto"/>
        <w:bottom w:val="none" w:sz="0" w:space="0" w:color="auto"/>
        <w:right w:val="none" w:sz="0" w:space="0" w:color="auto"/>
      </w:divBdr>
      <w:divsChild>
        <w:div w:id="1235507450">
          <w:marLeft w:val="0"/>
          <w:marRight w:val="0"/>
          <w:marTop w:val="0"/>
          <w:marBottom w:val="0"/>
          <w:divBdr>
            <w:top w:val="none" w:sz="0" w:space="0" w:color="auto"/>
            <w:left w:val="none" w:sz="0" w:space="0" w:color="auto"/>
            <w:bottom w:val="none" w:sz="0" w:space="0" w:color="auto"/>
            <w:right w:val="none" w:sz="0" w:space="0" w:color="auto"/>
          </w:divBdr>
          <w:divsChild>
            <w:div w:id="1208101246">
              <w:marLeft w:val="0"/>
              <w:marRight w:val="0"/>
              <w:marTop w:val="0"/>
              <w:marBottom w:val="0"/>
              <w:divBdr>
                <w:top w:val="none" w:sz="0" w:space="0" w:color="auto"/>
                <w:left w:val="none" w:sz="0" w:space="0" w:color="auto"/>
                <w:bottom w:val="none" w:sz="0" w:space="0" w:color="auto"/>
                <w:right w:val="none" w:sz="0" w:space="0" w:color="auto"/>
              </w:divBdr>
              <w:divsChild>
                <w:div w:id="1222210854">
                  <w:marLeft w:val="0"/>
                  <w:marRight w:val="0"/>
                  <w:marTop w:val="0"/>
                  <w:marBottom w:val="0"/>
                  <w:divBdr>
                    <w:top w:val="none" w:sz="0" w:space="0" w:color="auto"/>
                    <w:left w:val="none" w:sz="0" w:space="0" w:color="auto"/>
                    <w:bottom w:val="none" w:sz="0" w:space="0" w:color="auto"/>
                    <w:right w:val="none" w:sz="0" w:space="0" w:color="auto"/>
                  </w:divBdr>
                  <w:divsChild>
                    <w:div w:id="1924799071">
                      <w:marLeft w:val="0"/>
                      <w:marRight w:val="0"/>
                      <w:marTop w:val="0"/>
                      <w:marBottom w:val="0"/>
                      <w:divBdr>
                        <w:top w:val="none" w:sz="0" w:space="0" w:color="auto"/>
                        <w:left w:val="none" w:sz="0" w:space="0" w:color="auto"/>
                        <w:bottom w:val="none" w:sz="0" w:space="0" w:color="auto"/>
                        <w:right w:val="none" w:sz="0" w:space="0" w:color="auto"/>
                      </w:divBdr>
                      <w:divsChild>
                        <w:div w:id="109933839">
                          <w:marLeft w:val="0"/>
                          <w:marRight w:val="0"/>
                          <w:marTop w:val="0"/>
                          <w:marBottom w:val="0"/>
                          <w:divBdr>
                            <w:top w:val="none" w:sz="0" w:space="0" w:color="auto"/>
                            <w:left w:val="none" w:sz="0" w:space="0" w:color="auto"/>
                            <w:bottom w:val="none" w:sz="0" w:space="0" w:color="auto"/>
                            <w:right w:val="none" w:sz="0" w:space="0" w:color="auto"/>
                          </w:divBdr>
                          <w:divsChild>
                            <w:div w:id="133185717">
                              <w:marLeft w:val="0"/>
                              <w:marRight w:val="0"/>
                              <w:marTop w:val="0"/>
                              <w:marBottom w:val="0"/>
                              <w:divBdr>
                                <w:top w:val="none" w:sz="0" w:space="0" w:color="auto"/>
                                <w:left w:val="none" w:sz="0" w:space="0" w:color="auto"/>
                                <w:bottom w:val="none" w:sz="0" w:space="0" w:color="auto"/>
                                <w:right w:val="none" w:sz="0" w:space="0" w:color="auto"/>
                              </w:divBdr>
                              <w:divsChild>
                                <w:div w:id="1668052824">
                                  <w:marLeft w:val="0"/>
                                  <w:marRight w:val="0"/>
                                  <w:marTop w:val="0"/>
                                  <w:marBottom w:val="0"/>
                                  <w:divBdr>
                                    <w:top w:val="none" w:sz="0" w:space="0" w:color="auto"/>
                                    <w:left w:val="none" w:sz="0" w:space="0" w:color="auto"/>
                                    <w:bottom w:val="none" w:sz="0" w:space="0" w:color="auto"/>
                                    <w:right w:val="none" w:sz="0" w:space="0" w:color="auto"/>
                                  </w:divBdr>
                                  <w:divsChild>
                                    <w:div w:id="1757052410">
                                      <w:marLeft w:val="0"/>
                                      <w:marRight w:val="0"/>
                                      <w:marTop w:val="0"/>
                                      <w:marBottom w:val="0"/>
                                      <w:divBdr>
                                        <w:top w:val="none" w:sz="0" w:space="0" w:color="auto"/>
                                        <w:left w:val="none" w:sz="0" w:space="0" w:color="auto"/>
                                        <w:bottom w:val="none" w:sz="0" w:space="0" w:color="auto"/>
                                        <w:right w:val="none" w:sz="0" w:space="0" w:color="auto"/>
                                      </w:divBdr>
                                      <w:divsChild>
                                        <w:div w:id="1628273245">
                                          <w:marLeft w:val="0"/>
                                          <w:marRight w:val="0"/>
                                          <w:marTop w:val="0"/>
                                          <w:marBottom w:val="0"/>
                                          <w:divBdr>
                                            <w:top w:val="none" w:sz="0" w:space="0" w:color="auto"/>
                                            <w:left w:val="none" w:sz="0" w:space="0" w:color="auto"/>
                                            <w:bottom w:val="none" w:sz="0" w:space="0" w:color="auto"/>
                                            <w:right w:val="none" w:sz="0" w:space="0" w:color="auto"/>
                                          </w:divBdr>
                                          <w:divsChild>
                                            <w:div w:id="2044743978">
                                              <w:marLeft w:val="0"/>
                                              <w:marRight w:val="0"/>
                                              <w:marTop w:val="0"/>
                                              <w:marBottom w:val="0"/>
                                              <w:divBdr>
                                                <w:top w:val="none" w:sz="0" w:space="0" w:color="auto"/>
                                                <w:left w:val="none" w:sz="0" w:space="0" w:color="auto"/>
                                                <w:bottom w:val="none" w:sz="0" w:space="0" w:color="auto"/>
                                                <w:right w:val="none" w:sz="0" w:space="0" w:color="auto"/>
                                              </w:divBdr>
                                              <w:divsChild>
                                                <w:div w:id="1532567819">
                                                  <w:marLeft w:val="0"/>
                                                  <w:marRight w:val="0"/>
                                                  <w:marTop w:val="0"/>
                                                  <w:marBottom w:val="0"/>
                                                  <w:divBdr>
                                                    <w:top w:val="none" w:sz="0" w:space="0" w:color="auto"/>
                                                    <w:left w:val="none" w:sz="0" w:space="0" w:color="auto"/>
                                                    <w:bottom w:val="none" w:sz="0" w:space="0" w:color="auto"/>
                                                    <w:right w:val="none" w:sz="0" w:space="0" w:color="auto"/>
                                                  </w:divBdr>
                                                  <w:divsChild>
                                                    <w:div w:id="1920285159">
                                                      <w:marLeft w:val="0"/>
                                                      <w:marRight w:val="0"/>
                                                      <w:marTop w:val="0"/>
                                                      <w:marBottom w:val="0"/>
                                                      <w:divBdr>
                                                        <w:top w:val="none" w:sz="0" w:space="0" w:color="auto"/>
                                                        <w:left w:val="none" w:sz="0" w:space="0" w:color="auto"/>
                                                        <w:bottom w:val="none" w:sz="0" w:space="0" w:color="auto"/>
                                                        <w:right w:val="none" w:sz="0" w:space="0" w:color="auto"/>
                                                      </w:divBdr>
                                                      <w:divsChild>
                                                        <w:div w:id="1810584084">
                                                          <w:marLeft w:val="0"/>
                                                          <w:marRight w:val="0"/>
                                                          <w:marTop w:val="0"/>
                                                          <w:marBottom w:val="0"/>
                                                          <w:divBdr>
                                                            <w:top w:val="none" w:sz="0" w:space="0" w:color="auto"/>
                                                            <w:left w:val="none" w:sz="0" w:space="0" w:color="auto"/>
                                                            <w:bottom w:val="none" w:sz="0" w:space="0" w:color="auto"/>
                                                            <w:right w:val="none" w:sz="0" w:space="0" w:color="auto"/>
                                                          </w:divBdr>
                                                          <w:divsChild>
                                                            <w:div w:id="795442017">
                                                              <w:marLeft w:val="0"/>
                                                              <w:marRight w:val="0"/>
                                                              <w:marTop w:val="0"/>
                                                              <w:marBottom w:val="0"/>
                                                              <w:divBdr>
                                                                <w:top w:val="none" w:sz="0" w:space="0" w:color="auto"/>
                                                                <w:left w:val="none" w:sz="0" w:space="0" w:color="auto"/>
                                                                <w:bottom w:val="none" w:sz="0" w:space="0" w:color="auto"/>
                                                                <w:right w:val="none" w:sz="0" w:space="0" w:color="auto"/>
                                                              </w:divBdr>
                                                              <w:divsChild>
                                                                <w:div w:id="158198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5798992">
      <w:bodyDiv w:val="1"/>
      <w:marLeft w:val="0"/>
      <w:marRight w:val="0"/>
      <w:marTop w:val="0"/>
      <w:marBottom w:val="0"/>
      <w:divBdr>
        <w:top w:val="none" w:sz="0" w:space="0" w:color="auto"/>
        <w:left w:val="none" w:sz="0" w:space="0" w:color="auto"/>
        <w:bottom w:val="none" w:sz="0" w:space="0" w:color="auto"/>
        <w:right w:val="none" w:sz="0" w:space="0" w:color="auto"/>
      </w:divBdr>
    </w:div>
    <w:div w:id="1197306085">
      <w:bodyDiv w:val="1"/>
      <w:marLeft w:val="0"/>
      <w:marRight w:val="0"/>
      <w:marTop w:val="0"/>
      <w:marBottom w:val="0"/>
      <w:divBdr>
        <w:top w:val="none" w:sz="0" w:space="0" w:color="auto"/>
        <w:left w:val="none" w:sz="0" w:space="0" w:color="auto"/>
        <w:bottom w:val="none" w:sz="0" w:space="0" w:color="auto"/>
        <w:right w:val="none" w:sz="0" w:space="0" w:color="auto"/>
      </w:divBdr>
    </w:div>
    <w:div w:id="2014648325">
      <w:bodyDiv w:val="1"/>
      <w:marLeft w:val="0"/>
      <w:marRight w:val="0"/>
      <w:marTop w:val="0"/>
      <w:marBottom w:val="0"/>
      <w:divBdr>
        <w:top w:val="none" w:sz="0" w:space="0" w:color="auto"/>
        <w:left w:val="none" w:sz="0" w:space="0" w:color="auto"/>
        <w:bottom w:val="none" w:sz="0" w:space="0" w:color="auto"/>
        <w:right w:val="none" w:sz="0" w:space="0" w:color="auto"/>
      </w:divBdr>
    </w:div>
    <w:div w:id="203642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hagleyrc.worcs.sch.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EEE83DB8EF884FB7EFEE3F4F1EC536" ma:contentTypeVersion="7" ma:contentTypeDescription="Create a new document." ma:contentTypeScope="" ma:versionID="233f194b159fea1d2fd66f0b36fddd6d">
  <xsd:schema xmlns:xsd="http://www.w3.org/2001/XMLSchema" xmlns:xs="http://www.w3.org/2001/XMLSchema" xmlns:p="http://schemas.microsoft.com/office/2006/metadata/properties" xmlns:ns2="de69283c-d559-4d1a-bf23-f303719e6a67" xmlns:ns3="afb86fca-7c86-4b3c-b89c-9513e54491f7" targetNamespace="http://schemas.microsoft.com/office/2006/metadata/properties" ma:root="true" ma:fieldsID="31a78622b94a9a8dd6583be2f9610c4c" ns2:_="" ns3:_="">
    <xsd:import namespace="de69283c-d559-4d1a-bf23-f303719e6a67"/>
    <xsd:import namespace="afb86fca-7c86-4b3c-b89c-9513e54491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9283c-d559-4d1a-bf23-f303719e6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86fca-7c86-4b3c-b89c-9513e54491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CE5B1-4272-4258-A575-0BB35F2CA802}">
  <ds:schemaRefs>
    <ds:schemaRef ds:uri="http://schemas.microsoft.com/office/2006/metadata/properties"/>
    <ds:schemaRef ds:uri="http://www.w3.org/XML/1998/namespace"/>
    <ds:schemaRef ds:uri="http://schemas.microsoft.com/office/2006/documentManagement/types"/>
    <ds:schemaRef ds:uri="de69283c-d559-4d1a-bf23-f303719e6a67"/>
    <ds:schemaRef ds:uri="http://purl.org/dc/dcmitype/"/>
    <ds:schemaRef ds:uri="http://purl.org/dc/terms/"/>
    <ds:schemaRef ds:uri="http://schemas.openxmlformats.org/package/2006/metadata/core-properties"/>
    <ds:schemaRef ds:uri="afb86fca-7c86-4b3c-b89c-9513e54491f7"/>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AE8D857F-3350-42AF-98BB-3C91C13461B5}">
  <ds:schemaRefs>
    <ds:schemaRef ds:uri="http://schemas.microsoft.com/sharepoint/v3/contenttype/forms"/>
  </ds:schemaRefs>
</ds:datastoreItem>
</file>

<file path=customXml/itemProps3.xml><?xml version="1.0" encoding="utf-8"?>
<ds:datastoreItem xmlns:ds="http://schemas.openxmlformats.org/officeDocument/2006/customXml" ds:itemID="{88A13D32-4FE0-4C69-A8D1-28CC7F42A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9283c-d559-4d1a-bf23-f303719e6a67"/>
    <ds:schemaRef ds:uri="afb86fca-7c86-4b3c-b89c-9513e5449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3172</Words>
  <Characters>18083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Hagley Catholic High School</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dc:creator>
  <cp:lastModifiedBy>Mr Hodgson</cp:lastModifiedBy>
  <cp:revision>10</cp:revision>
  <cp:lastPrinted>2019-05-21T12:21:00Z</cp:lastPrinted>
  <dcterms:created xsi:type="dcterms:W3CDTF">2020-09-21T10:13:00Z</dcterms:created>
  <dcterms:modified xsi:type="dcterms:W3CDTF">2020-09-25T10:14:00Z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0x0101009DEEE83DB8EF884FB7EFEE3F4F1EC536</vt:lpwstr>
  </property>
</Properties>
</file>